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呼图壁县发展和改革委员会</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2024年呼图壁县发展和改革委员会</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2024年呼图壁县发展和改革委员会</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2024年呼图壁县发展和改革委员会</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一、关于呼图壁县发展和改革委员会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二、关于呼图壁县发展和改革委员会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三、关于呼图壁县发展和改革委员会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呼图壁县发展和改革委员会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呼图壁县发展和改革委员会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呼图壁县发展和改革委员会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呼图壁县发展和改革委员会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、关于呼图壁县发展和改革委员会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关于呼图壁县发展和改革委员会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、关于呼图壁县发展和改革委员会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、关于呼图壁县发展和改革委员会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kern w:val="0"/>
          <w:sz w:val="32"/>
          <w:szCs w:val="32"/>
        </w:rPr>
        <w:t>呼图壁县发展和改革委员会</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呼图壁县发展和改革委员会是综合研究拟定县国民经济和社会发展战略、发展规划和政策，进行总量平衡、结构调整、指导县总体经济体制改革工作、主管固定资产投资立项、强化粮食流通监督检查和商品价格监控的宏观调控单位。</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呼图壁县发展和改革委员会无下属预算单位，下设7个</w:t>
      </w:r>
      <w:r>
        <w:rPr>
          <w:rFonts w:hint="eastAsia" w:ascii="仿宋_GB2312" w:hAnsi="仿宋_GB2312" w:eastAsia="仿宋_GB2312" w:cs="仿宋_GB2312"/>
          <w:kern w:val="0"/>
          <w:sz w:val="32"/>
          <w:szCs w:val="32"/>
          <w:lang w:eastAsia="zh-CN"/>
        </w:rPr>
        <w:t>科</w:t>
      </w:r>
      <w:r>
        <w:rPr>
          <w:rFonts w:hint="eastAsia" w:ascii="仿宋_GB2312" w:hAnsi="仿宋_GB2312" w:eastAsia="仿宋_GB2312" w:cs="仿宋_GB2312"/>
          <w:kern w:val="0"/>
          <w:sz w:val="32"/>
          <w:szCs w:val="32"/>
        </w:rPr>
        <w:t>室，分别是：办公室、能源（煤炭）综合科、综合业务科、基建投资科、重点项目科、粮食和物资储备科（国民经济动员办公室）、价格收费管理科。</w:t>
      </w:r>
    </w:p>
    <w:p>
      <w:pPr>
        <w:widowControl/>
        <w:spacing w:line="560" w:lineRule="exact"/>
        <w:ind w:firstLine="6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呼图壁县发展和改革委员会</w:t>
      </w:r>
      <w:r>
        <w:rPr>
          <w:rFonts w:hint="eastAsia" w:ascii="仿宋_GB2312" w:hAnsi="仿宋_GB2312" w:eastAsia="仿宋_GB2312" w:cs="仿宋_GB2312"/>
          <w:kern w:val="0"/>
          <w:sz w:val="32"/>
          <w:szCs w:val="32"/>
        </w:rPr>
        <w:t>编制数</w:t>
      </w:r>
      <w:r>
        <w:rPr>
          <w:rFonts w:hint="eastAsia" w:ascii="仿宋_GB2312" w:hAnsi="仿宋_GB2312" w:eastAsia="仿宋_GB2312" w:cs="仿宋_GB2312"/>
          <w:kern w:val="0"/>
          <w:sz w:val="32"/>
          <w:szCs w:val="32"/>
          <w:lang w:val="en-US" w:eastAsia="zh-CN"/>
        </w:rPr>
        <w:t>35</w:t>
      </w:r>
      <w:r>
        <w:rPr>
          <w:rFonts w:hint="eastAsia" w:ascii="仿宋_GB2312" w:hAnsi="仿宋_GB2312" w:eastAsia="仿宋_GB2312" w:cs="仿宋_GB2312"/>
          <w:kern w:val="0"/>
          <w:sz w:val="32"/>
          <w:szCs w:val="32"/>
        </w:rPr>
        <w:t>，实有人数</w:t>
      </w:r>
      <w:r>
        <w:rPr>
          <w:rFonts w:hint="eastAsia" w:ascii="仿宋_GB2312" w:hAnsi="仿宋_GB2312" w:eastAsia="仿宋_GB2312" w:cs="仿宋_GB2312"/>
          <w:kern w:val="0"/>
          <w:sz w:val="32"/>
          <w:szCs w:val="32"/>
          <w:lang w:val="en-US" w:eastAsia="zh-CN"/>
        </w:rPr>
        <w:t>67</w:t>
      </w:r>
      <w:r>
        <w:rPr>
          <w:rFonts w:hint="eastAsia" w:ascii="仿宋_GB2312" w:hAnsi="仿宋_GB2312" w:eastAsia="仿宋_GB2312" w:cs="仿宋_GB2312"/>
          <w:kern w:val="0"/>
          <w:sz w:val="32"/>
          <w:szCs w:val="32"/>
        </w:rPr>
        <w:t>，其中：在职</w:t>
      </w:r>
      <w:r>
        <w:rPr>
          <w:rFonts w:hint="eastAsia" w:ascii="仿宋_GB2312" w:hAnsi="仿宋_GB2312" w:eastAsia="仿宋_GB2312" w:cs="仿宋_GB2312"/>
          <w:kern w:val="0"/>
          <w:sz w:val="32"/>
          <w:szCs w:val="32"/>
          <w:lang w:val="en-US" w:eastAsia="zh-CN"/>
        </w:rPr>
        <w:t>34</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人；退休</w:t>
      </w:r>
      <w:r>
        <w:rPr>
          <w:rFonts w:hint="eastAsia" w:ascii="仿宋_GB2312" w:hAnsi="仿宋_GB2312" w:eastAsia="仿宋_GB2312" w:cs="仿宋_GB2312"/>
          <w:kern w:val="0"/>
          <w:sz w:val="32"/>
          <w:szCs w:val="32"/>
          <w:lang w:val="en-US" w:eastAsia="zh-CN"/>
        </w:rPr>
        <w:t>33</w:t>
      </w:r>
      <w:r>
        <w:rPr>
          <w:rFonts w:hint="eastAsia" w:ascii="仿宋_GB2312" w:hAnsi="仿宋_GB2312" w:eastAsia="仿宋_GB2312" w:cs="仿宋_GB2312"/>
          <w:kern w:val="0"/>
          <w:sz w:val="32"/>
          <w:szCs w:val="32"/>
        </w:rPr>
        <w:t>人，减少</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人；离休0人，增加0人。</w:t>
      </w:r>
    </w:p>
    <w:p>
      <w:pPr>
        <w:widowControl/>
        <w:spacing w:line="560" w:lineRule="exact"/>
        <w:ind w:firstLine="640"/>
        <w:jc w:val="left"/>
        <w:rPr>
          <w:rFonts w:hint="eastAsia" w:ascii="仿宋_GB2312" w:hAnsi="仿宋_GB2312" w:eastAsia="仿宋_GB2312" w:cs="仿宋_GB2312"/>
          <w:kern w:val="0"/>
          <w:sz w:val="32"/>
          <w:szCs w:val="32"/>
        </w:rPr>
      </w:pPr>
    </w:p>
    <w:p>
      <w:pPr>
        <w:widowControl/>
        <w:spacing w:line="560" w:lineRule="exact"/>
        <w:ind w:firstLine="640"/>
        <w:jc w:val="left"/>
        <w:rPr>
          <w:rFonts w:hint="eastAsia" w:ascii="仿宋_GB2312" w:hAnsi="仿宋_GB2312" w:eastAsia="仿宋_GB2312" w:cs="仿宋_GB2312"/>
          <w:kern w:val="0"/>
          <w:sz w:val="32"/>
          <w:szCs w:val="32"/>
        </w:rPr>
      </w:pPr>
    </w:p>
    <w:p>
      <w:pPr>
        <w:widowControl/>
        <w:spacing w:line="560" w:lineRule="exact"/>
        <w:ind w:firstLine="640"/>
        <w:jc w:val="left"/>
        <w:rPr>
          <w:rFonts w:hint="eastAsia" w:ascii="仿宋_GB2312" w:hAnsi="仿宋_GB2312" w:eastAsia="仿宋_GB2312" w:cs="仿宋_GB2312"/>
          <w:kern w:val="0"/>
          <w:sz w:val="32"/>
          <w:szCs w:val="32"/>
        </w:rPr>
      </w:pPr>
    </w:p>
    <w:p>
      <w:pPr>
        <w:widowControl/>
        <w:spacing w:line="560" w:lineRule="exact"/>
        <w:ind w:firstLine="640"/>
        <w:jc w:val="left"/>
        <w:rPr>
          <w:rFonts w:hint="eastAsia" w:ascii="仿宋_GB2312" w:hAnsi="仿宋_GB2312" w:eastAsia="仿宋_GB2312" w:cs="仿宋_GB2312"/>
          <w:kern w:val="0"/>
          <w:sz w:val="32"/>
          <w:szCs w:val="32"/>
        </w:rPr>
      </w:pPr>
    </w:p>
    <w:p>
      <w:pPr>
        <w:widowControl/>
        <w:spacing w:line="560" w:lineRule="exact"/>
        <w:ind w:firstLine="640"/>
        <w:jc w:val="left"/>
        <w:rPr>
          <w:rFonts w:hint="eastAsia" w:ascii="仿宋_GB2312" w:hAnsi="仿宋_GB2312" w:eastAsia="仿宋_GB2312" w:cs="仿宋_GB2312"/>
          <w:kern w:val="0"/>
          <w:sz w:val="32"/>
          <w:szCs w:val="32"/>
        </w:rPr>
      </w:pPr>
    </w:p>
    <w:p>
      <w:pPr>
        <w:widowControl/>
        <w:spacing w:line="560" w:lineRule="exact"/>
        <w:ind w:firstLine="640"/>
        <w:jc w:val="left"/>
        <w:rPr>
          <w:rFonts w:hint="eastAsia" w:ascii="仿宋_GB2312" w:hAnsi="仿宋_GB2312" w:eastAsia="仿宋_GB2312" w:cs="仿宋_GB2312"/>
          <w:kern w:val="0"/>
          <w:sz w:val="32"/>
          <w:szCs w:val="32"/>
        </w:rPr>
      </w:pPr>
    </w:p>
    <w:p>
      <w:pPr>
        <w:widowControl/>
        <w:spacing w:line="560" w:lineRule="exact"/>
        <w:ind w:firstLine="640"/>
        <w:jc w:val="left"/>
        <w:rPr>
          <w:rFonts w:hint="eastAsia" w:ascii="仿宋_GB2312" w:hAnsi="仿宋_GB2312" w:eastAsia="仿宋_GB2312" w:cs="仿宋_GB2312"/>
          <w:kern w:val="0"/>
          <w:sz w:val="32"/>
          <w:szCs w:val="32"/>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kern w:val="0"/>
          <w:sz w:val="32"/>
          <w:szCs w:val="32"/>
        </w:rPr>
        <w:t>呼图壁县发展和改革委员会</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2008.88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1703.40</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1633.88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1632.20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146.77</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54.23</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365.00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10.00</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365.00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307.00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307.00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307.00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94.48</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307.00</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2315.88</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2315.88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编制单位：呼图壁县发展和改革委员会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60" w:type="dxa"/>
        <w:tblInd w:w="-450" w:type="dxa"/>
        <w:tblLayout w:type="fixed"/>
        <w:tblCellMar>
          <w:top w:w="0" w:type="dxa"/>
          <w:left w:w="108" w:type="dxa"/>
          <w:bottom w:w="0" w:type="dxa"/>
          <w:right w:w="108" w:type="dxa"/>
        </w:tblCellMar>
      </w:tblPr>
      <w:tblGrid>
        <w:gridCol w:w="416"/>
        <w:gridCol w:w="420"/>
        <w:gridCol w:w="415"/>
        <w:gridCol w:w="1179"/>
        <w:gridCol w:w="802"/>
        <w:gridCol w:w="803"/>
        <w:gridCol w:w="716"/>
        <w:gridCol w:w="717"/>
        <w:gridCol w:w="555"/>
        <w:gridCol w:w="655"/>
        <w:gridCol w:w="482"/>
        <w:gridCol w:w="753"/>
        <w:gridCol w:w="321"/>
        <w:gridCol w:w="568"/>
        <w:gridCol w:w="494"/>
        <w:gridCol w:w="364"/>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7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0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81"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2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6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94" w:type="dxa"/>
            <w:vMerge w:val="restart"/>
            <w:tcBorders>
              <w:top w:val="single" w:color="auto" w:sz="4" w:space="0"/>
              <w:left w:val="single" w:color="auto" w:sz="4" w:space="0"/>
              <w:bottom w:val="single" w:color="000000" w:sz="4" w:space="0"/>
              <w:right w:val="single" w:color="auto" w:sz="4" w:space="0"/>
            </w:tcBorders>
            <w:noWrap w:val="0"/>
            <w:vAlign w:val="center"/>
          </w:tcPr>
          <w:p>
            <w:pPr>
              <w:jc w:val="distribute"/>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64" w:type="dxa"/>
            <w:vMerge w:val="restart"/>
            <w:tcBorders>
              <w:top w:val="single" w:color="auto" w:sz="4" w:space="0"/>
              <w:left w:val="single" w:color="auto" w:sz="4" w:space="0"/>
              <w:bottom w:val="single" w:color="000000" w:sz="4" w:space="0"/>
              <w:right w:val="single" w:color="auto" w:sz="4" w:space="0"/>
            </w:tcBorders>
            <w:noWrap w:val="0"/>
            <w:vAlign w:val="center"/>
          </w:tcPr>
          <w:p>
            <w:pPr>
              <w:jc w:val="distribute"/>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1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7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0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0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1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1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8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5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2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6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9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6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201　</w:t>
            </w:r>
          </w:p>
        </w:tc>
        <w:tc>
          <w:tcPr>
            <w:tcW w:w="4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415"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一般公共服务支出</w:t>
            </w:r>
          </w:p>
        </w:tc>
        <w:tc>
          <w:tcPr>
            <w:tcW w:w="802" w:type="dxa"/>
            <w:tcBorders>
              <w:top w:val="nil"/>
              <w:left w:val="nil"/>
              <w:bottom w:val="single" w:color="auto" w:sz="4" w:space="0"/>
              <w:right w:val="single" w:color="auto" w:sz="4" w:space="0"/>
            </w:tcBorders>
            <w:shd w:val="clear" w:color="000000" w:fill="FFFFFF"/>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1703.40</w:t>
            </w:r>
          </w:p>
        </w:tc>
        <w:tc>
          <w:tcPr>
            <w:tcW w:w="803" w:type="dxa"/>
            <w:tcBorders>
              <w:top w:val="nil"/>
              <w:left w:val="nil"/>
              <w:bottom w:val="single" w:color="auto" w:sz="4" w:space="0"/>
              <w:right w:val="single" w:color="auto" w:sz="4" w:space="0"/>
            </w:tcBorders>
            <w:shd w:val="clear" w:color="000000" w:fill="FFFFFF"/>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1473.40</w:t>
            </w:r>
          </w:p>
        </w:tc>
        <w:tc>
          <w:tcPr>
            <w:tcW w:w="716" w:type="dxa"/>
            <w:tcBorders>
              <w:top w:val="nil"/>
              <w:left w:val="nil"/>
              <w:bottom w:val="single" w:color="auto" w:sz="4" w:space="0"/>
              <w:right w:val="single" w:color="auto" w:sz="4" w:space="0"/>
            </w:tcBorders>
            <w:shd w:val="clear" w:color="000000" w:fill="FFFFFF"/>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1473.40</w:t>
            </w:r>
          </w:p>
        </w:tc>
        <w:tc>
          <w:tcPr>
            <w:tcW w:w="717"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1.68</w:t>
            </w:r>
          </w:p>
        </w:tc>
        <w:tc>
          <w:tcPr>
            <w:tcW w:w="5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230.00</w:t>
            </w:r>
          </w:p>
        </w:tc>
        <w:tc>
          <w:tcPr>
            <w:tcW w:w="494"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p>
        </w:tc>
        <w:tc>
          <w:tcPr>
            <w:tcW w:w="364"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201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04　</w:t>
            </w:r>
          </w:p>
        </w:tc>
        <w:tc>
          <w:tcPr>
            <w:tcW w:w="41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发展与改革事务</w:t>
            </w:r>
          </w:p>
        </w:tc>
        <w:tc>
          <w:tcPr>
            <w:tcW w:w="802"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1703.40</w:t>
            </w:r>
          </w:p>
        </w:tc>
        <w:tc>
          <w:tcPr>
            <w:tcW w:w="803"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1473.40</w:t>
            </w:r>
          </w:p>
        </w:tc>
        <w:tc>
          <w:tcPr>
            <w:tcW w:w="716"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1473.40</w:t>
            </w:r>
          </w:p>
        </w:tc>
        <w:tc>
          <w:tcPr>
            <w:tcW w:w="7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1.68</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230.00</w:t>
            </w: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201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04　</w:t>
            </w:r>
          </w:p>
        </w:tc>
        <w:tc>
          <w:tcPr>
            <w:tcW w:w="41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01　</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行政运行</w:t>
            </w:r>
          </w:p>
        </w:tc>
        <w:tc>
          <w:tcPr>
            <w:tcW w:w="802"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433.35</w:t>
            </w:r>
          </w:p>
        </w:tc>
        <w:tc>
          <w:tcPr>
            <w:tcW w:w="803"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203.35</w:t>
            </w:r>
          </w:p>
        </w:tc>
        <w:tc>
          <w:tcPr>
            <w:tcW w:w="716"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203.35</w:t>
            </w:r>
          </w:p>
        </w:tc>
        <w:tc>
          <w:tcPr>
            <w:tcW w:w="7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230.00</w:t>
            </w: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41"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201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04　</w:t>
            </w:r>
          </w:p>
        </w:tc>
        <w:tc>
          <w:tcPr>
            <w:tcW w:w="415"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1179"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一般行政管理事务</w:t>
            </w:r>
          </w:p>
        </w:tc>
        <w:tc>
          <w:tcPr>
            <w:tcW w:w="802"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1000.00</w:t>
            </w:r>
          </w:p>
        </w:tc>
        <w:tc>
          <w:tcPr>
            <w:tcW w:w="803"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1000.00</w:t>
            </w:r>
          </w:p>
        </w:tc>
        <w:tc>
          <w:tcPr>
            <w:tcW w:w="716"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1000.00</w:t>
            </w:r>
          </w:p>
        </w:tc>
        <w:tc>
          <w:tcPr>
            <w:tcW w:w="7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201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04　</w:t>
            </w:r>
          </w:p>
        </w:tc>
        <w:tc>
          <w:tcPr>
            <w:tcW w:w="415"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08</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eastAsia="zh-CN"/>
              </w:rPr>
              <w:t>物价管理</w:t>
            </w:r>
          </w:p>
        </w:tc>
        <w:tc>
          <w:tcPr>
            <w:tcW w:w="802"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6.00</w:t>
            </w:r>
          </w:p>
        </w:tc>
        <w:tc>
          <w:tcPr>
            <w:tcW w:w="803"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6.00</w:t>
            </w:r>
          </w:p>
        </w:tc>
        <w:tc>
          <w:tcPr>
            <w:tcW w:w="716"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6.00</w:t>
            </w:r>
          </w:p>
        </w:tc>
        <w:tc>
          <w:tcPr>
            <w:tcW w:w="7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201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04　</w:t>
            </w:r>
          </w:p>
        </w:tc>
        <w:tc>
          <w:tcPr>
            <w:tcW w:w="41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50　</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事业运行</w:t>
            </w:r>
          </w:p>
        </w:tc>
        <w:tc>
          <w:tcPr>
            <w:tcW w:w="802"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216.38</w:t>
            </w:r>
          </w:p>
        </w:tc>
        <w:tc>
          <w:tcPr>
            <w:tcW w:w="803"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216.38</w:t>
            </w:r>
          </w:p>
        </w:tc>
        <w:tc>
          <w:tcPr>
            <w:tcW w:w="716"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216.38</w:t>
            </w:r>
          </w:p>
        </w:tc>
        <w:tc>
          <w:tcPr>
            <w:tcW w:w="7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201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04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99　</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其他发展和改革事务支出</w:t>
            </w:r>
          </w:p>
        </w:tc>
        <w:tc>
          <w:tcPr>
            <w:tcW w:w="802"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47.68</w:t>
            </w:r>
          </w:p>
        </w:tc>
        <w:tc>
          <w:tcPr>
            <w:tcW w:w="803"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47.68</w:t>
            </w:r>
          </w:p>
        </w:tc>
        <w:tc>
          <w:tcPr>
            <w:tcW w:w="716"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46</w:t>
            </w:r>
          </w:p>
        </w:tc>
        <w:tc>
          <w:tcPr>
            <w:tcW w:w="7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1.68</w:t>
            </w: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208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社会保障和就业支出</w:t>
            </w:r>
          </w:p>
        </w:tc>
        <w:tc>
          <w:tcPr>
            <w:tcW w:w="802"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146.77</w:t>
            </w:r>
          </w:p>
        </w:tc>
        <w:tc>
          <w:tcPr>
            <w:tcW w:w="803"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81.77</w:t>
            </w:r>
          </w:p>
        </w:tc>
        <w:tc>
          <w:tcPr>
            <w:tcW w:w="716"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81.77</w:t>
            </w:r>
          </w:p>
        </w:tc>
        <w:tc>
          <w:tcPr>
            <w:tcW w:w="7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65.00</w:t>
            </w: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208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05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行政事业单位养老支出</w:t>
            </w:r>
          </w:p>
        </w:tc>
        <w:tc>
          <w:tcPr>
            <w:tcW w:w="802"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146.77</w:t>
            </w:r>
          </w:p>
        </w:tc>
        <w:tc>
          <w:tcPr>
            <w:tcW w:w="803"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81.77</w:t>
            </w:r>
          </w:p>
        </w:tc>
        <w:tc>
          <w:tcPr>
            <w:tcW w:w="716"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81.77</w:t>
            </w:r>
          </w:p>
        </w:tc>
        <w:tc>
          <w:tcPr>
            <w:tcW w:w="7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65.00</w:t>
            </w: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208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05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01</w:t>
            </w: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行政单位离退休</w:t>
            </w:r>
          </w:p>
        </w:tc>
        <w:tc>
          <w:tcPr>
            <w:tcW w:w="802"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20.30</w:t>
            </w:r>
          </w:p>
        </w:tc>
        <w:tc>
          <w:tcPr>
            <w:tcW w:w="803"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20.30</w:t>
            </w:r>
          </w:p>
        </w:tc>
        <w:tc>
          <w:tcPr>
            <w:tcW w:w="716"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20.30</w:t>
            </w:r>
          </w:p>
        </w:tc>
        <w:tc>
          <w:tcPr>
            <w:tcW w:w="7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208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05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02</w:t>
            </w: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事业单位离退休</w:t>
            </w:r>
          </w:p>
        </w:tc>
        <w:tc>
          <w:tcPr>
            <w:tcW w:w="802"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8.10</w:t>
            </w:r>
          </w:p>
        </w:tc>
        <w:tc>
          <w:tcPr>
            <w:tcW w:w="803"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8.10</w:t>
            </w:r>
          </w:p>
        </w:tc>
        <w:tc>
          <w:tcPr>
            <w:tcW w:w="716"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8.10</w:t>
            </w:r>
          </w:p>
        </w:tc>
        <w:tc>
          <w:tcPr>
            <w:tcW w:w="7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208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05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05　</w:t>
            </w:r>
          </w:p>
        </w:tc>
        <w:tc>
          <w:tcPr>
            <w:tcW w:w="117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机关事业单位基本养老保险缴费支出</w:t>
            </w:r>
          </w:p>
        </w:tc>
        <w:tc>
          <w:tcPr>
            <w:tcW w:w="802"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103.37</w:t>
            </w:r>
          </w:p>
        </w:tc>
        <w:tc>
          <w:tcPr>
            <w:tcW w:w="803"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53.37</w:t>
            </w:r>
          </w:p>
        </w:tc>
        <w:tc>
          <w:tcPr>
            <w:tcW w:w="716"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53.37</w:t>
            </w:r>
          </w:p>
        </w:tc>
        <w:tc>
          <w:tcPr>
            <w:tcW w:w="7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50.00</w:t>
            </w: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208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05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06</w:t>
            </w: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000000"/>
                <w:sz w:val="18"/>
                <w:szCs w:val="18"/>
                <w:lang w:eastAsia="zh-CN"/>
              </w:rPr>
              <w:t>机关事业单位职业年金缴费支出</w:t>
            </w:r>
          </w:p>
        </w:tc>
        <w:tc>
          <w:tcPr>
            <w:tcW w:w="802"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15.00</w:t>
            </w:r>
          </w:p>
        </w:tc>
        <w:tc>
          <w:tcPr>
            <w:tcW w:w="803"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p>
        </w:tc>
        <w:tc>
          <w:tcPr>
            <w:tcW w:w="716"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20"/>
                <w:szCs w:val="20"/>
                <w:highlight w:val="none"/>
                <w:lang w:val="en-US" w:eastAsia="zh-CN"/>
              </w:rPr>
            </w:pPr>
          </w:p>
        </w:tc>
        <w:tc>
          <w:tcPr>
            <w:tcW w:w="7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2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8" w:type="dxa"/>
            <w:tcBorders>
              <w:top w:val="nil"/>
              <w:left w:val="single" w:color="auto" w:sz="4" w:space="0"/>
              <w:bottom w:val="single" w:color="auto" w:sz="4" w:space="0"/>
              <w:right w:val="single" w:color="auto" w:sz="4" w:space="0"/>
            </w:tcBorders>
            <w:noWrap w:val="0"/>
            <w:vAlign w:val="top"/>
          </w:tcPr>
          <w:p>
            <w:pPr>
              <w:jc w:val="right"/>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15.00</w:t>
            </w:r>
          </w:p>
        </w:tc>
        <w:tc>
          <w:tcPr>
            <w:tcW w:w="49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210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卫生健康支出</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54.23</w:t>
            </w:r>
          </w:p>
        </w:tc>
        <w:tc>
          <w:tcPr>
            <w:tcW w:w="803"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34.23</w:t>
            </w:r>
          </w:p>
        </w:tc>
        <w:tc>
          <w:tcPr>
            <w:tcW w:w="716"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34.23</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20.00</w:t>
            </w: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210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11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行政事业单位医疗</w:t>
            </w:r>
          </w:p>
        </w:tc>
        <w:tc>
          <w:tcPr>
            <w:tcW w:w="80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54.23</w:t>
            </w:r>
          </w:p>
        </w:tc>
        <w:tc>
          <w:tcPr>
            <w:tcW w:w="803"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34.23</w:t>
            </w:r>
          </w:p>
        </w:tc>
        <w:tc>
          <w:tcPr>
            <w:tcW w:w="716"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34.23</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20.00</w:t>
            </w: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210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11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01　</w:t>
            </w:r>
          </w:p>
        </w:tc>
        <w:tc>
          <w:tcPr>
            <w:tcW w:w="117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行政单位医疗</w:t>
            </w:r>
          </w:p>
        </w:tc>
        <w:tc>
          <w:tcPr>
            <w:tcW w:w="80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31.35</w:t>
            </w:r>
          </w:p>
        </w:tc>
        <w:tc>
          <w:tcPr>
            <w:tcW w:w="803"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11.35</w:t>
            </w:r>
          </w:p>
        </w:tc>
        <w:tc>
          <w:tcPr>
            <w:tcW w:w="716"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11.35</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20.00</w:t>
            </w: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20"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5"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事业单位医疗</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15.34</w:t>
            </w:r>
          </w:p>
        </w:tc>
        <w:tc>
          <w:tcPr>
            <w:tcW w:w="803"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15.34</w:t>
            </w:r>
          </w:p>
        </w:tc>
        <w:tc>
          <w:tcPr>
            <w:tcW w:w="716"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15.34</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210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11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03　</w:t>
            </w:r>
          </w:p>
        </w:tc>
        <w:tc>
          <w:tcPr>
            <w:tcW w:w="117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公务员医疗补助</w:t>
            </w:r>
          </w:p>
        </w:tc>
        <w:tc>
          <w:tcPr>
            <w:tcW w:w="80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7.34</w:t>
            </w:r>
          </w:p>
        </w:tc>
        <w:tc>
          <w:tcPr>
            <w:tcW w:w="803"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7.34</w:t>
            </w:r>
          </w:p>
        </w:tc>
        <w:tc>
          <w:tcPr>
            <w:tcW w:w="716"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7.34</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210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11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99　</w:t>
            </w:r>
          </w:p>
        </w:tc>
        <w:tc>
          <w:tcPr>
            <w:tcW w:w="117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其他行政事业单位医疗支出</w:t>
            </w:r>
          </w:p>
        </w:tc>
        <w:tc>
          <w:tcPr>
            <w:tcW w:w="80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0.20</w:t>
            </w:r>
          </w:p>
        </w:tc>
        <w:tc>
          <w:tcPr>
            <w:tcW w:w="803"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0.20</w:t>
            </w:r>
          </w:p>
        </w:tc>
        <w:tc>
          <w:tcPr>
            <w:tcW w:w="716"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0.20</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lang w:val="en-US" w:eastAsia="zh-CN"/>
              </w:rPr>
              <w:t>212</w:t>
            </w:r>
            <w:r>
              <w:rPr>
                <w:rFonts w:hint="eastAsia" w:ascii="仿宋_GB2312" w:eastAsia="仿宋_GB2312"/>
                <w:color w:val="000000"/>
                <w:sz w:val="18"/>
                <w:szCs w:val="18"/>
              </w:rPr>
              <w:t>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城乡社区支出</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803"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716"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212</w:t>
            </w:r>
          </w:p>
        </w:tc>
        <w:tc>
          <w:tcPr>
            <w:tcW w:w="420"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08</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国有土地使用权出让收入安排的支出</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803"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716"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212</w:t>
            </w:r>
          </w:p>
        </w:tc>
        <w:tc>
          <w:tcPr>
            <w:tcW w:w="420"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08</w:t>
            </w:r>
          </w:p>
        </w:tc>
        <w:tc>
          <w:tcPr>
            <w:tcW w:w="415"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其他国有土地使用权出让收入安排的支出</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803"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716"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221</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住房保障支出</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94.48</w:t>
            </w:r>
          </w:p>
        </w:tc>
        <w:tc>
          <w:tcPr>
            <w:tcW w:w="803"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716"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50.00</w:t>
            </w: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221</w:t>
            </w:r>
          </w:p>
        </w:tc>
        <w:tc>
          <w:tcPr>
            <w:tcW w:w="420"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住房改革支出</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94.48</w:t>
            </w:r>
          </w:p>
        </w:tc>
        <w:tc>
          <w:tcPr>
            <w:tcW w:w="803"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716"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50.00</w:t>
            </w: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rPr>
              <w:t>　</w:t>
            </w:r>
            <w:r>
              <w:rPr>
                <w:rFonts w:hint="eastAsia" w:ascii="仿宋_GB2312" w:eastAsia="仿宋_GB2312"/>
                <w:color w:val="000000"/>
                <w:sz w:val="18"/>
                <w:szCs w:val="18"/>
                <w:lang w:val="en-US" w:eastAsia="zh-CN"/>
              </w:rPr>
              <w:t>221</w:t>
            </w:r>
          </w:p>
        </w:tc>
        <w:tc>
          <w:tcPr>
            <w:tcW w:w="420"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r>
              <w:rPr>
                <w:rFonts w:hint="eastAsia" w:ascii="仿宋_GB2312" w:eastAsia="仿宋_GB2312"/>
                <w:color w:val="000000"/>
                <w:sz w:val="18"/>
                <w:szCs w:val="18"/>
              </w:rPr>
              <w:t>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lang w:val="en-US" w:eastAsia="zh-CN"/>
              </w:rPr>
              <w:t>01</w:t>
            </w: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住房公积金</w:t>
            </w:r>
          </w:p>
        </w:tc>
        <w:tc>
          <w:tcPr>
            <w:tcW w:w="80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94.48</w:t>
            </w:r>
          </w:p>
        </w:tc>
        <w:tc>
          <w:tcPr>
            <w:tcW w:w="803"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716"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50.00</w:t>
            </w:r>
          </w:p>
        </w:tc>
        <w:tc>
          <w:tcPr>
            <w:tcW w:w="49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lang w:val="en-US" w:eastAsia="zh-CN"/>
              </w:rPr>
              <w:t>224</w:t>
            </w:r>
            <w:r>
              <w:rPr>
                <w:rFonts w:hint="eastAsia" w:ascii="仿宋_GB2312" w:eastAsia="仿宋_GB2312"/>
                <w:color w:val="000000"/>
                <w:sz w:val="18"/>
                <w:szCs w:val="18"/>
              </w:rPr>
              <w:t>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灾害防治及应急管理支出</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80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16"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rPr>
              <w:t>　</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94"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lang w:val="en-US" w:eastAsia="zh-CN"/>
              </w:rPr>
              <w:t>224</w:t>
            </w:r>
          </w:p>
        </w:tc>
        <w:tc>
          <w:tcPr>
            <w:tcW w:w="420"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矿山安全</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80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16"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94"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lang w:val="en-US" w:eastAsia="zh-CN"/>
              </w:rPr>
              <w:t>224</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eastAsia="仿宋_GB2312"/>
                <w:color w:val="000000"/>
                <w:sz w:val="18"/>
                <w:szCs w:val="18"/>
                <w:lang w:val="en-US" w:eastAsia="zh-CN"/>
              </w:rPr>
              <w:t>04</w:t>
            </w:r>
          </w:p>
        </w:tc>
        <w:tc>
          <w:tcPr>
            <w:tcW w:w="415"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117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其他矿山安全支出</w:t>
            </w:r>
          </w:p>
        </w:tc>
        <w:tc>
          <w:tcPr>
            <w:tcW w:w="80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80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16"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655"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8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753"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56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c>
          <w:tcPr>
            <w:tcW w:w="494"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364"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trPr>
        <w:tc>
          <w:tcPr>
            <w:tcW w:w="4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0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2315.88</w:t>
            </w:r>
          </w:p>
        </w:tc>
        <w:tc>
          <w:tcPr>
            <w:tcW w:w="803"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1643.88</w:t>
            </w:r>
          </w:p>
        </w:tc>
        <w:tc>
          <w:tcPr>
            <w:tcW w:w="716"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1632.2</w:t>
            </w:r>
          </w:p>
        </w:tc>
        <w:tc>
          <w:tcPr>
            <w:tcW w:w="717"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1.68</w:t>
            </w:r>
          </w:p>
        </w:tc>
        <w:tc>
          <w:tcPr>
            <w:tcW w:w="555"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655"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482"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753"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3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568"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365.00</w:t>
            </w:r>
          </w:p>
        </w:tc>
        <w:tc>
          <w:tcPr>
            <w:tcW w:w="494"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364"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编制单位：呼图壁县发展和改革委员会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486"/>
        <w:gridCol w:w="417"/>
        <w:gridCol w:w="417"/>
        <w:gridCol w:w="2562"/>
        <w:gridCol w:w="1830"/>
        <w:gridCol w:w="1830"/>
        <w:gridCol w:w="1878"/>
      </w:tblGrid>
      <w:tr>
        <w:tblPrEx>
          <w:tblLayout w:type="fixed"/>
          <w:tblCellMar>
            <w:top w:w="0" w:type="dxa"/>
            <w:left w:w="108" w:type="dxa"/>
            <w:bottom w:w="0" w:type="dxa"/>
            <w:right w:w="108" w:type="dxa"/>
          </w:tblCellMar>
        </w:tblPrEx>
        <w:trPr>
          <w:trHeight w:val="328" w:hRule="atLeast"/>
        </w:trPr>
        <w:tc>
          <w:tcPr>
            <w:tcW w:w="388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一般公共服务支出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1703.40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649.72</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1053.68</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发展与改革事务</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1703.40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649.72</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1053.68</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01</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行政运行</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433.35</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433.35</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一般行政管理事务</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1000.00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1000.00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08</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物价管理</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6.00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6.00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50</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事业运行</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216.38</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216.38</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其他发展与改革事务支出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47.68</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47.68</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社会保障和就业支出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146.77</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146.77</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行政事业单位养老支出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146.77</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146.77</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01　</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行政单位离退休</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20.30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20.30</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事业单位离退休</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8.10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8.10</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机关事业单位基本养老保险缴费支出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103.37</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103.37</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06</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机关事业单位职业年金缴费支出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15.00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15.00</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卫生健康支出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54.23</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54.23</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行政事业单位医疗</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54.23</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54.23</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01</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行政单位医疗</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31.35</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31.35</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事业单位医疗</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15.34</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15.34</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03</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公务员医疗补助</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7.34</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7.34</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其他行政事业单位医疗支出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0.20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0.20</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212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城乡社区支出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212</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256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国有土地使用权出让收入安排的支出</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1878"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212</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08</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256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其他国有土地使用权出让收入安排的支出</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1878"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10.00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256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住房保障支出</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94.48</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94.48</w:t>
            </w:r>
          </w:p>
        </w:tc>
        <w:tc>
          <w:tcPr>
            <w:tcW w:w="1878"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256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住房改革支出</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94.48</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94.48</w:t>
            </w:r>
          </w:p>
        </w:tc>
        <w:tc>
          <w:tcPr>
            <w:tcW w:w="1878"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01</w:t>
            </w:r>
          </w:p>
        </w:tc>
        <w:tc>
          <w:tcPr>
            <w:tcW w:w="256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住房公积金</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94.48</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94.48</w:t>
            </w:r>
          </w:p>
        </w:tc>
        <w:tc>
          <w:tcPr>
            <w:tcW w:w="1878"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224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2562"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灾害防治及应急管理支出</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256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矿山安全</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1878"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2562"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其他矿山安全支出</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1878"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2315.88</w:t>
            </w:r>
          </w:p>
        </w:tc>
        <w:tc>
          <w:tcPr>
            <w:tcW w:w="1830"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945.20</w:t>
            </w:r>
          </w:p>
        </w:tc>
        <w:tc>
          <w:tcPr>
            <w:tcW w:w="1878"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1370.68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782"/>
        <w:gridCol w:w="1056"/>
        <w:gridCol w:w="2345"/>
        <w:gridCol w:w="1056"/>
        <w:gridCol w:w="1056"/>
        <w:gridCol w:w="1095"/>
        <w:gridCol w:w="6"/>
        <w:gridCol w:w="1053"/>
      </w:tblGrid>
      <w:tr>
        <w:tblPrEx>
          <w:tblLayout w:type="fixed"/>
          <w:tblCellMar>
            <w:top w:w="0" w:type="dxa"/>
            <w:left w:w="108" w:type="dxa"/>
            <w:bottom w:w="0" w:type="dxa"/>
            <w:right w:w="108" w:type="dxa"/>
          </w:tblCellMar>
        </w:tblPrEx>
        <w:trPr>
          <w:trHeight w:val="285" w:hRule="atLeast"/>
        </w:trPr>
        <w:tc>
          <w:tcPr>
            <w:tcW w:w="2838"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11" w:type="dxa"/>
            <w:gridSpan w:val="6"/>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78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5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34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5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5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5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1950.88</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1473.40</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1473.40</w:t>
            </w: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1940.88</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10.00</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81.77</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81.77</w:t>
            </w: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34.23</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34.23</w:t>
            </w: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10.00</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10.00</w:t>
            </w: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44.48</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44.48</w:t>
            </w: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307.00</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307.00</w:t>
            </w: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5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101" w:type="dxa"/>
            <w:gridSpan w:val="2"/>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78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5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仿宋_GB2312" w:hAnsi="宋体" w:eastAsia="仿宋_GB2312" w:cs="宋体"/>
                <w:color w:val="auto"/>
                <w:kern w:val="0"/>
                <w:sz w:val="18"/>
                <w:szCs w:val="18"/>
                <w:highlight w:val="none"/>
                <w:lang w:val="en-US" w:eastAsia="zh-CN"/>
              </w:rPr>
              <w:t>1950.88</w:t>
            </w:r>
          </w:p>
        </w:tc>
        <w:tc>
          <w:tcPr>
            <w:tcW w:w="2345"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1950.88</w:t>
            </w:r>
          </w:p>
        </w:tc>
        <w:tc>
          <w:tcPr>
            <w:tcW w:w="1056"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1940.88</w:t>
            </w:r>
          </w:p>
        </w:tc>
        <w:tc>
          <w:tcPr>
            <w:tcW w:w="1095" w:type="dxa"/>
            <w:tcBorders>
              <w:top w:val="nil"/>
              <w:left w:val="nil"/>
              <w:bottom w:val="single" w:color="auto" w:sz="4" w:space="0"/>
              <w:right w:val="single" w:color="auto" w:sz="4" w:space="0"/>
            </w:tcBorders>
            <w:noWrap w:val="0"/>
            <w:vAlign w:val="top"/>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10.00</w:t>
            </w:r>
          </w:p>
        </w:tc>
        <w:tc>
          <w:tcPr>
            <w:tcW w:w="105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486"/>
        <w:gridCol w:w="499"/>
        <w:gridCol w:w="502"/>
        <w:gridCol w:w="2700"/>
        <w:gridCol w:w="465"/>
        <w:gridCol w:w="1023"/>
        <w:gridCol w:w="216"/>
        <w:gridCol w:w="1624"/>
        <w:gridCol w:w="1699"/>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1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呼图壁县发展和改革委员会</w:t>
            </w:r>
          </w:p>
        </w:tc>
        <w:tc>
          <w:tcPr>
            <w:tcW w:w="46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3"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1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8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70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8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70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8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201</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一般公共服务支出</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1473.40</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419.72</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1053.68</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201</w:t>
            </w:r>
          </w:p>
        </w:tc>
        <w:tc>
          <w:tcPr>
            <w:tcW w:w="499"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04</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发展与改革事务</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1473.40</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419.72</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1053.68</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201</w:t>
            </w:r>
          </w:p>
        </w:tc>
        <w:tc>
          <w:tcPr>
            <w:tcW w:w="499"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01</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行政运行</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203.35</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203.35</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201</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02</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一般行政管理事务</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1000.00</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1000.00</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201</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08</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物价管理</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6.00</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6.00</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201</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50</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事业运行</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216.38</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216.38</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201</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99</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其他发展与改革事务支出</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47.68</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47.68</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208　</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　</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社会保障和就业支出</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81.77</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81.77</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208</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05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　</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行政事业单位养老支出</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81.77</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81.77</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208</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05</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01　</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行政单位离退休</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20.30</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20.30</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208</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05</w:t>
            </w:r>
          </w:p>
        </w:tc>
        <w:tc>
          <w:tcPr>
            <w:tcW w:w="502"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02</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事业单位离退休</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8.10</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8.10</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208</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05</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05</w:t>
            </w: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机关事业单位基本养老保险缴费支出</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53.37</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53.37</w:t>
            </w: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210</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卫生健康支出</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34.23</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34.23</w:t>
            </w: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210</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11</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行政事业单位医疗</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34.23</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34.23</w:t>
            </w: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210</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11</w:t>
            </w:r>
          </w:p>
        </w:tc>
        <w:tc>
          <w:tcPr>
            <w:tcW w:w="502"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01</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行政单位医疗</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11.35</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11.35</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210</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11</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02</w:t>
            </w: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事业单位医疗</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15.34</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15.34</w:t>
            </w: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210</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11</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03</w:t>
            </w: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公务员医疗补助</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7.34</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7.34</w:t>
            </w: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210</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11</w:t>
            </w:r>
          </w:p>
        </w:tc>
        <w:tc>
          <w:tcPr>
            <w:tcW w:w="502"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99</w:t>
            </w:r>
          </w:p>
        </w:tc>
        <w:tc>
          <w:tcPr>
            <w:tcW w:w="2700"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其他行政事业单位医疗支出</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0.20</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0.20</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221</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住房保障支出</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221</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02</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住房改革支出</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221</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02</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01</w:t>
            </w: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住房公积金</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44.48</w:t>
            </w: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224　</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　</w:t>
            </w: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灾害防治及应急管理支出</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04</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矿山安全</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04</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99</w:t>
            </w:r>
          </w:p>
        </w:tc>
        <w:tc>
          <w:tcPr>
            <w:tcW w:w="2700"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000000"/>
                <w:kern w:val="2"/>
                <w:sz w:val="18"/>
                <w:szCs w:val="18"/>
                <w:lang w:val="en-US" w:eastAsia="zh-CN" w:bidi="ar-SA"/>
              </w:rPr>
            </w:pPr>
            <w:r>
              <w:rPr>
                <w:rFonts w:hint="default" w:ascii="仿宋_GB2312" w:eastAsia="仿宋_GB2312"/>
                <w:color w:val="000000"/>
                <w:sz w:val="18"/>
                <w:szCs w:val="18"/>
                <w:lang w:val="en-US" w:eastAsia="zh-CN"/>
              </w:rPr>
              <w:t>其他矿山安全支出</w:t>
            </w:r>
          </w:p>
        </w:tc>
        <w:tc>
          <w:tcPr>
            <w:tcW w:w="1488"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c>
          <w:tcPr>
            <w:tcW w:w="1840" w:type="dxa"/>
            <w:gridSpan w:val="2"/>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p>
        </w:tc>
        <w:tc>
          <w:tcPr>
            <w:tcW w:w="1699" w:type="dxa"/>
            <w:tcBorders>
              <w:top w:val="nil"/>
              <w:left w:val="nil"/>
              <w:bottom w:val="single" w:color="auto" w:sz="4" w:space="0"/>
              <w:right w:val="single" w:color="auto" w:sz="4" w:space="0"/>
            </w:tcBorders>
            <w:noWrap w:val="0"/>
            <w:vAlign w:val="top"/>
          </w:tcPr>
          <w:p>
            <w:pPr>
              <w:jc w:val="left"/>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307.00</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70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88"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1940.88</w:t>
            </w:r>
          </w:p>
        </w:tc>
        <w:tc>
          <w:tcPr>
            <w:tcW w:w="1840" w:type="dxa"/>
            <w:gridSpan w:val="2"/>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580.20</w:t>
            </w:r>
          </w:p>
        </w:tc>
        <w:tc>
          <w:tcPr>
            <w:tcW w:w="1699" w:type="dxa"/>
            <w:tcBorders>
              <w:top w:val="nil"/>
              <w:left w:val="nil"/>
              <w:bottom w:val="single" w:color="auto" w:sz="4" w:space="0"/>
              <w:right w:val="single" w:color="auto" w:sz="4" w:space="0"/>
            </w:tcBorders>
            <w:noWrap w:val="0"/>
            <w:vAlign w:val="top"/>
          </w:tcPr>
          <w:p>
            <w:pPr>
              <w:jc w:val="left"/>
              <w:rPr>
                <w:rFonts w:hint="default" w:ascii="仿宋_GB2312" w:eastAsia="仿宋_GB2312"/>
                <w:color w:val="000000"/>
                <w:sz w:val="18"/>
                <w:szCs w:val="18"/>
                <w:lang w:val="en-US" w:eastAsia="zh-CN"/>
              </w:rPr>
            </w:pPr>
            <w:r>
              <w:rPr>
                <w:rFonts w:hint="default" w:ascii="仿宋_GB2312" w:eastAsia="仿宋_GB2312"/>
                <w:color w:val="000000"/>
                <w:sz w:val="18"/>
                <w:szCs w:val="18"/>
                <w:lang w:val="en-US" w:eastAsia="zh-CN"/>
              </w:rPr>
              <w:t>1360.68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呼图壁县发展和改革委员会</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仿宋_GB2312" w:hAnsi="宋体" w:eastAsia="仿宋_GB2312" w:cs="宋体"/>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531.26</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531.26</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127.49</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127.49</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360" w:lineRule="auto"/>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widowControl/>
              <w:spacing w:line="360" w:lineRule="auto"/>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top"/>
          </w:tcPr>
          <w:p>
            <w:pPr>
              <w:widowControl/>
              <w:spacing w:line="360" w:lineRule="auto"/>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81.16</w:t>
            </w:r>
          </w:p>
        </w:tc>
        <w:tc>
          <w:tcPr>
            <w:tcW w:w="1701" w:type="dxa"/>
            <w:gridSpan w:val="2"/>
            <w:tcBorders>
              <w:top w:val="nil"/>
              <w:left w:val="nil"/>
              <w:bottom w:val="single" w:color="auto" w:sz="4" w:space="0"/>
              <w:right w:val="single" w:color="auto" w:sz="4" w:space="0"/>
            </w:tcBorders>
            <w:noWrap w:val="0"/>
            <w:vAlign w:val="top"/>
          </w:tcPr>
          <w:p>
            <w:pPr>
              <w:widowControl/>
              <w:spacing w:line="360" w:lineRule="auto"/>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81.16</w:t>
            </w:r>
          </w:p>
        </w:tc>
        <w:tc>
          <w:tcPr>
            <w:tcW w:w="1701" w:type="dxa"/>
            <w:tcBorders>
              <w:top w:val="nil"/>
              <w:left w:val="nil"/>
              <w:bottom w:val="single" w:color="auto" w:sz="4" w:space="0"/>
              <w:right w:val="single" w:color="auto" w:sz="4" w:space="0"/>
            </w:tcBorders>
            <w:noWrap w:val="0"/>
            <w:vAlign w:val="top"/>
          </w:tcPr>
          <w:p>
            <w:pPr>
              <w:widowControl/>
              <w:spacing w:line="360" w:lineRule="auto"/>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109.72</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109.72</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52.31</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52.31</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53.37</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53.37</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26.68</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26.68</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7.34</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7.34</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2.50</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2.50</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44.48</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44.48</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26.22</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26.22</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18.34</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18.34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　</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0.92</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0.92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印刷费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0.15</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电费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2.00</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1.35</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0.49</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0.49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0.95</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0.95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维修（护）费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0.20</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公务接待费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1.02</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6.46</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6.46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4.80</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4.80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30.60</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30.60</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27.04</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27.04</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2.19</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2.19</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1.36</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1.36</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580.20</w:t>
            </w:r>
          </w:p>
        </w:tc>
        <w:tc>
          <w:tcPr>
            <w:tcW w:w="1701" w:type="dxa"/>
            <w:gridSpan w:val="2"/>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561.86</w:t>
            </w:r>
          </w:p>
        </w:tc>
        <w:tc>
          <w:tcPr>
            <w:tcW w:w="170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18.34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13"/>
        <w:gridCol w:w="562"/>
        <w:gridCol w:w="456"/>
        <w:gridCol w:w="456"/>
        <w:gridCol w:w="1025"/>
        <w:gridCol w:w="1235"/>
        <w:gridCol w:w="531"/>
        <w:gridCol w:w="210"/>
        <w:gridCol w:w="408"/>
        <w:gridCol w:w="655"/>
        <w:gridCol w:w="419"/>
        <w:gridCol w:w="445"/>
        <w:gridCol w:w="242"/>
        <w:gridCol w:w="450"/>
        <w:gridCol w:w="555"/>
        <w:gridCol w:w="612"/>
        <w:gridCol w:w="418"/>
        <w:gridCol w:w="418"/>
        <w:gridCol w:w="378"/>
        <w:gridCol w:w="52"/>
      </w:tblGrid>
      <w:tr>
        <w:tblPrEx>
          <w:tblLayout w:type="fixed"/>
          <w:tblCellMar>
            <w:top w:w="0" w:type="dxa"/>
            <w:left w:w="108" w:type="dxa"/>
            <w:bottom w:w="0" w:type="dxa"/>
            <w:right w:w="108" w:type="dxa"/>
          </w:tblCellMar>
        </w:tblPrEx>
        <w:trPr>
          <w:gridBefore w:val="1"/>
          <w:gridAfter w:val="1"/>
          <w:wBefore w:w="13" w:type="dxa"/>
          <w:wAfter w:w="52" w:type="dxa"/>
          <w:trHeight w:val="375" w:hRule="atLeast"/>
        </w:trPr>
        <w:tc>
          <w:tcPr>
            <w:tcW w:w="947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3" w:type="dxa"/>
          <w:wAfter w:w="52" w:type="dxa"/>
          <w:trHeight w:val="405" w:hRule="atLeast"/>
        </w:trPr>
        <w:tc>
          <w:tcPr>
            <w:tcW w:w="4265"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呼图壁县发展和改革委员会</w:t>
            </w:r>
          </w:p>
        </w:tc>
        <w:tc>
          <w:tcPr>
            <w:tcW w:w="1273"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06"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31"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87"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2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3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4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0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4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92"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3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75"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5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5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2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2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4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2"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3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Hans"/>
              </w:rPr>
            </w:pP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一般公共服务支出</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741"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1053.68</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1023.68</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30.00</w:t>
            </w: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　</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发展与改革事务</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1053.68</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1023.68</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30.00</w:t>
            </w: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　</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一般行政管理事务</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1000.00</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　</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一般行政管理事务</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项目前期编制费项目（非定额）</w:t>
            </w: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1000.00</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物价管理</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6.00</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物价管理</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政府定价服务成本监审费用项目（非定额）</w:t>
            </w:r>
          </w:p>
        </w:tc>
        <w:tc>
          <w:tcPr>
            <w:tcW w:w="741"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6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6.00</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5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30"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其他发展与改革事务支出</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47.68</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17.68</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30.00</w:t>
            </w: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　</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其他发展与改革事务支出</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应急储备面粉项目（非定额）</w:t>
            </w: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15.00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15.00</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其他发展与改革事务支出</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人民防空工作经费项目（非定额）</w:t>
            </w: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30.00</w:t>
            </w: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其他发展与改革事务支出</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粮食质量安全检查和监测经费项目（非定额）</w:t>
            </w: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　</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其他发展与改革事务支出</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关于提前下达2024年下达农产品成本调查经费预算的通知-2024年农产品成本调查项目</w:t>
            </w: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1.68</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1.68</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灾害防治及应急管理支出</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307.00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307.00</w:t>
            </w:r>
          </w:p>
        </w:tc>
        <w:tc>
          <w:tcPr>
            <w:tcW w:w="5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224</w:t>
            </w:r>
          </w:p>
        </w:tc>
        <w:tc>
          <w:tcPr>
            <w:tcW w:w="456"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矿山安全</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307.00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692"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307.00</w:t>
            </w:r>
          </w:p>
        </w:tc>
        <w:tc>
          <w:tcPr>
            <w:tcW w:w="5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　</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其他矿山安全支出</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741"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307.00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307.00</w:t>
            </w:r>
          </w:p>
        </w:tc>
        <w:tc>
          <w:tcPr>
            <w:tcW w:w="5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224</w:t>
            </w:r>
          </w:p>
        </w:tc>
        <w:tc>
          <w:tcPr>
            <w:tcW w:w="456"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w:t>
            </w:r>
          </w:p>
        </w:tc>
        <w:tc>
          <w:tcPr>
            <w:tcW w:w="456"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102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其他矿山安全支出</w:t>
            </w:r>
          </w:p>
        </w:tc>
        <w:tc>
          <w:tcPr>
            <w:tcW w:w="1235" w:type="dxa"/>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关于下达2023年煤矿安全改造专项中央基建投资预算的通知-石梯子西沟煤矿2023年瓦斯地面预抽项目</w:t>
            </w:r>
          </w:p>
        </w:tc>
        <w:tc>
          <w:tcPr>
            <w:tcW w:w="741"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307.00</w:t>
            </w:r>
          </w:p>
        </w:tc>
        <w:tc>
          <w:tcPr>
            <w:tcW w:w="408"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6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307.00</w:t>
            </w:r>
          </w:p>
        </w:tc>
        <w:tc>
          <w:tcPr>
            <w:tcW w:w="55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30"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7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5"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41"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1360.68</w:t>
            </w:r>
          </w:p>
        </w:tc>
        <w:tc>
          <w:tcPr>
            <w:tcW w:w="408"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p>
        </w:tc>
        <w:tc>
          <w:tcPr>
            <w:tcW w:w="6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1023.68</w:t>
            </w:r>
          </w:p>
        </w:tc>
        <w:tc>
          <w:tcPr>
            <w:tcW w:w="419"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45"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92" w:type="dxa"/>
            <w:gridSpan w:val="2"/>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307.00</w:t>
            </w:r>
          </w:p>
        </w:tc>
        <w:tc>
          <w:tcPr>
            <w:tcW w:w="555" w:type="dxa"/>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30.00</w:t>
            </w:r>
          </w:p>
        </w:tc>
        <w:tc>
          <w:tcPr>
            <w:tcW w:w="612" w:type="dxa"/>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编制单位：呼图壁县发展和改革委员会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700"/>
        <w:gridCol w:w="683"/>
        <w:gridCol w:w="654"/>
        <w:gridCol w:w="2316"/>
        <w:gridCol w:w="1354"/>
        <w:gridCol w:w="1042"/>
        <w:gridCol w:w="1088"/>
        <w:gridCol w:w="1377"/>
      </w:tblGrid>
      <w:tr>
        <w:tblPrEx>
          <w:tblLayout w:type="fixed"/>
          <w:tblCellMar>
            <w:top w:w="0" w:type="dxa"/>
            <w:left w:w="108" w:type="dxa"/>
            <w:bottom w:w="0" w:type="dxa"/>
            <w:right w:w="108" w:type="dxa"/>
          </w:tblCellMar>
        </w:tblPrEx>
        <w:trPr>
          <w:trHeight w:val="465" w:hRule="atLeast"/>
        </w:trPr>
        <w:tc>
          <w:tcPr>
            <w:tcW w:w="435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861"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203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16"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30"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7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5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42"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08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7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212　</w:t>
            </w:r>
          </w:p>
        </w:tc>
        <w:tc>
          <w:tcPr>
            <w:tcW w:w="68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5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16" w:type="dxa"/>
            <w:tcBorders>
              <w:top w:val="single" w:color="auto" w:sz="4" w:space="0"/>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城乡社区支出</w:t>
            </w:r>
          </w:p>
        </w:tc>
        <w:tc>
          <w:tcPr>
            <w:tcW w:w="1354" w:type="dxa"/>
            <w:tcBorders>
              <w:top w:val="single" w:color="auto" w:sz="4" w:space="0"/>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w:t>
            </w:r>
          </w:p>
        </w:tc>
        <w:tc>
          <w:tcPr>
            <w:tcW w:w="104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088"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1377" w:type="dxa"/>
            <w:tcBorders>
              <w:top w:val="single" w:color="auto" w:sz="4" w:space="0"/>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212</w:t>
            </w:r>
          </w:p>
        </w:tc>
        <w:tc>
          <w:tcPr>
            <w:tcW w:w="68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　</w:t>
            </w:r>
          </w:p>
        </w:tc>
        <w:tc>
          <w:tcPr>
            <w:tcW w:w="654"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16"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国有土地使用权出让收入安排的支出</w:t>
            </w:r>
          </w:p>
        </w:tc>
        <w:tc>
          <w:tcPr>
            <w:tcW w:w="135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w:t>
            </w:r>
          </w:p>
        </w:tc>
        <w:tc>
          <w:tcPr>
            <w:tcW w:w="104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088"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1377"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212</w:t>
            </w:r>
          </w:p>
        </w:tc>
        <w:tc>
          <w:tcPr>
            <w:tcW w:w="68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　</w:t>
            </w:r>
          </w:p>
        </w:tc>
        <w:tc>
          <w:tcPr>
            <w:tcW w:w="654"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　</w:t>
            </w:r>
          </w:p>
        </w:tc>
        <w:tc>
          <w:tcPr>
            <w:tcW w:w="2316"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其他国有土地使用权出让收入安排的支出</w:t>
            </w:r>
          </w:p>
        </w:tc>
        <w:tc>
          <w:tcPr>
            <w:tcW w:w="135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w:t>
            </w:r>
          </w:p>
        </w:tc>
        <w:tc>
          <w:tcPr>
            <w:tcW w:w="104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088"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1377"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5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w:t>
            </w:r>
          </w:p>
        </w:tc>
        <w:tc>
          <w:tcPr>
            <w:tcW w:w="1042"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1088"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rPr>
            </w:pPr>
          </w:p>
        </w:tc>
        <w:tc>
          <w:tcPr>
            <w:tcW w:w="1377"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10.00</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编制单位：呼图壁县发展和改革委员会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年无国有资本经营预算支出，此表为空。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编制单位：呼图壁县发展和改革委员会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jc w:val="lef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5.82</w:t>
            </w:r>
          </w:p>
        </w:tc>
        <w:tc>
          <w:tcPr>
            <w:tcW w:w="1314" w:type="dxa"/>
            <w:noWrap w:val="0"/>
            <w:vAlign w:val="top"/>
          </w:tcPr>
          <w:p>
            <w:pPr>
              <w:keepNext w:val="0"/>
              <w:keepLines w:val="0"/>
              <w:widowControl/>
              <w:suppressLineNumbers w:val="0"/>
              <w:jc w:val="lef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5.82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22"/>
                <w:szCs w:val="22"/>
                <w:u w:val="none"/>
                <w:lang w:val="en-US" w:eastAsia="zh-CN" w:bidi="ar-SA"/>
              </w:rPr>
            </w:pPr>
            <w:r>
              <w:rPr>
                <w:rFonts w:hint="eastAsia" w:ascii="Calibri" w:hAnsi="Calibri" w:cs="Calibri"/>
                <w:i w:val="0"/>
                <w:iCs w:val="0"/>
                <w:color w:val="000000"/>
                <w:kern w:val="0"/>
                <w:sz w:val="22"/>
                <w:szCs w:val="22"/>
                <w:u w:val="none"/>
                <w:lang w:val="en-US" w:eastAsia="zh-CN" w:bidi="ar"/>
              </w:rPr>
              <w:t>1.02</w:t>
            </w:r>
          </w:p>
        </w:tc>
        <w:tc>
          <w:tcPr>
            <w:tcW w:w="1314" w:type="dxa"/>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22"/>
                <w:szCs w:val="22"/>
                <w:u w:val="none"/>
                <w:lang w:val="en-US" w:eastAsia="zh-CN" w:bidi="ar-SA"/>
              </w:rPr>
            </w:pPr>
            <w:r>
              <w:rPr>
                <w:rFonts w:hint="eastAsia" w:ascii="Calibri" w:hAnsi="Calibri" w:cs="Calibri"/>
                <w:i w:val="0"/>
                <w:iCs w:val="0"/>
                <w:color w:val="000000"/>
                <w:kern w:val="0"/>
                <w:sz w:val="22"/>
                <w:szCs w:val="22"/>
                <w:u w:val="none"/>
                <w:lang w:val="en-US" w:eastAsia="zh-CN" w:bidi="ar"/>
              </w:rPr>
              <w:t>1.02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22"/>
                <w:szCs w:val="22"/>
                <w:u w:val="none"/>
                <w:lang w:val="en-US" w:eastAsia="zh-CN" w:bidi="ar-SA"/>
              </w:rPr>
            </w:pPr>
            <w:r>
              <w:rPr>
                <w:rFonts w:hint="eastAsia" w:ascii="Calibri" w:hAnsi="Calibri" w:cs="Calibri"/>
                <w:i w:val="0"/>
                <w:iCs w:val="0"/>
                <w:color w:val="000000"/>
                <w:kern w:val="0"/>
                <w:sz w:val="22"/>
                <w:szCs w:val="22"/>
                <w:u w:val="none"/>
                <w:lang w:val="en-US" w:eastAsia="zh-CN" w:bidi="ar"/>
              </w:rPr>
              <w:t>4.8</w:t>
            </w:r>
          </w:p>
        </w:tc>
        <w:tc>
          <w:tcPr>
            <w:tcW w:w="1314" w:type="dxa"/>
            <w:noWrap w:val="0"/>
            <w:vAlign w:val="top"/>
          </w:tcPr>
          <w:p>
            <w:pPr>
              <w:widowControl/>
              <w:jc w:val="left"/>
              <w:outlineLvl w:val="1"/>
              <w:rPr>
                <w:rFonts w:hint="default" w:ascii="仿宋_GB2312" w:hAnsi="宋体" w:eastAsia="仿宋_GB2312"/>
                <w:b/>
                <w:color w:val="auto"/>
                <w:kern w:val="0"/>
                <w:sz w:val="28"/>
                <w:szCs w:val="32"/>
                <w:highlight w:val="none"/>
                <w:vertAlign w:val="baseline"/>
              </w:rPr>
            </w:pPr>
            <w:r>
              <w:rPr>
                <w:rFonts w:hint="eastAsia" w:ascii="Calibri" w:hAnsi="Calibri" w:cs="Calibri"/>
                <w:i w:val="0"/>
                <w:iCs w:val="0"/>
                <w:color w:val="000000"/>
                <w:kern w:val="0"/>
                <w:sz w:val="22"/>
                <w:szCs w:val="22"/>
                <w:u w:val="none"/>
                <w:lang w:val="en-US" w:eastAsia="zh-CN" w:bidi="ar"/>
              </w:rPr>
              <w:t>4.8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left"/>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jc w:val="left"/>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left"/>
              <w:outlineLvl w:val="1"/>
              <w:rPr>
                <w:rFonts w:hint="default" w:ascii="仿宋_GB2312" w:hAnsi="宋体" w:eastAsia="仿宋_GB2312"/>
                <w:b/>
                <w:color w:val="auto"/>
                <w:kern w:val="0"/>
                <w:sz w:val="28"/>
                <w:szCs w:val="32"/>
                <w:highlight w:val="none"/>
                <w:vertAlign w:val="baseline"/>
              </w:rPr>
            </w:pPr>
            <w:r>
              <w:rPr>
                <w:rFonts w:hint="eastAsia" w:ascii="Calibri" w:hAnsi="Calibri" w:cs="Calibri"/>
                <w:i w:val="0"/>
                <w:iCs w:val="0"/>
                <w:color w:val="000000"/>
                <w:kern w:val="0"/>
                <w:sz w:val="22"/>
                <w:szCs w:val="22"/>
                <w:u w:val="none"/>
                <w:lang w:val="en-US" w:eastAsia="zh-CN" w:bidi="ar"/>
              </w:rPr>
              <w:t>4.8</w:t>
            </w:r>
          </w:p>
        </w:tc>
        <w:tc>
          <w:tcPr>
            <w:tcW w:w="1314" w:type="dxa"/>
            <w:noWrap w:val="0"/>
            <w:vAlign w:val="top"/>
          </w:tcPr>
          <w:p>
            <w:pPr>
              <w:widowControl/>
              <w:jc w:val="left"/>
              <w:outlineLvl w:val="1"/>
              <w:rPr>
                <w:rFonts w:hint="default" w:ascii="仿宋_GB2312" w:hAnsi="宋体" w:eastAsia="仿宋_GB2312"/>
                <w:b/>
                <w:color w:val="auto"/>
                <w:kern w:val="0"/>
                <w:sz w:val="28"/>
                <w:szCs w:val="32"/>
                <w:highlight w:val="none"/>
                <w:vertAlign w:val="baseline"/>
              </w:rPr>
            </w:pPr>
            <w:r>
              <w:rPr>
                <w:rFonts w:hint="eastAsia" w:ascii="Calibri" w:hAnsi="Calibri" w:cs="Calibri"/>
                <w:i w:val="0"/>
                <w:iCs w:val="0"/>
                <w:color w:val="000000"/>
                <w:kern w:val="0"/>
                <w:sz w:val="22"/>
                <w:szCs w:val="22"/>
                <w:u w:val="none"/>
                <w:lang w:val="en-US" w:eastAsia="zh-CN" w:bidi="ar"/>
              </w:rPr>
              <w:t>4.8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color w:val="auto"/>
                <w:kern w:val="0"/>
                <w:sz w:val="20"/>
                <w:szCs w:val="20"/>
                <w:highlight w:val="none"/>
                <w:lang w:val="en-US" w:eastAsia="zh-CN"/>
              </w:rPr>
              <w:t>关于下达2023年煤矿安全改造专项中央基建投资预算的通知-石梯子西沟煤矿2023年瓦斯地面预抽项目</w:t>
            </w:r>
          </w:p>
        </w:tc>
        <w:tc>
          <w:tcPr>
            <w:tcW w:w="850"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307</w:t>
            </w:r>
          </w:p>
        </w:tc>
        <w:tc>
          <w:tcPr>
            <w:tcW w:w="1054"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307</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307</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2024年呼图壁县发展和改革委员会</w:t>
      </w:r>
      <w:r>
        <w:rPr>
          <w:rFonts w:hint="eastAsia" w:ascii="黑体" w:hAnsi="黑体" w:eastAsia="黑体"/>
          <w:color w:val="auto"/>
          <w:kern w:val="0"/>
          <w:sz w:val="32"/>
          <w:szCs w:val="32"/>
          <w:highlight w:val="none"/>
        </w:rPr>
        <w:t>预算</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呼图壁县发展和改革委员会</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按照全口径预算的原则，呼图壁县发展和改革委员会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所有收入和支出均纳入部门（单位）预算管理。收支总预算</w:t>
      </w:r>
      <w:r>
        <w:rPr>
          <w:rFonts w:hint="eastAsia" w:ascii="仿宋_GB2312" w:hAnsi="宋体" w:eastAsia="仿宋_GB2312" w:cs="宋体"/>
          <w:color w:val="auto"/>
          <w:kern w:val="0"/>
          <w:sz w:val="32"/>
          <w:szCs w:val="32"/>
          <w:highlight w:val="none"/>
          <w:lang w:val="en-US" w:eastAsia="zh-CN"/>
        </w:rPr>
        <w:t>2315.88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1633.88万元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10万元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365万元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307万元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1703.40万元、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146.77万元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54.23万元</w:t>
      </w:r>
      <w:r>
        <w:rPr>
          <w:rFonts w:hint="eastAsia" w:ascii="仿宋_GB2312" w:hAnsi="宋体" w:eastAsia="仿宋_GB2312" w:cs="宋体"/>
          <w:color w:val="auto"/>
          <w:kern w:val="0"/>
          <w:sz w:val="32"/>
          <w:szCs w:val="32"/>
          <w:highlight w:val="none"/>
        </w:rPr>
        <w:t>、城乡社区支出</w:t>
      </w:r>
      <w:r>
        <w:rPr>
          <w:rFonts w:hint="eastAsia" w:ascii="仿宋_GB2312" w:hAnsi="宋体" w:eastAsia="仿宋_GB2312" w:cs="宋体"/>
          <w:color w:val="auto"/>
          <w:kern w:val="0"/>
          <w:sz w:val="32"/>
          <w:szCs w:val="32"/>
          <w:highlight w:val="none"/>
          <w:lang w:val="en-US" w:eastAsia="zh-CN"/>
        </w:rPr>
        <w:t>10万元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94.48万元</w:t>
      </w:r>
      <w:r>
        <w:rPr>
          <w:rFonts w:hint="eastAsia" w:ascii="仿宋_GB2312" w:hAnsi="宋体" w:eastAsia="仿宋_GB2312" w:cs="宋体"/>
          <w:color w:val="auto"/>
          <w:kern w:val="0"/>
          <w:sz w:val="32"/>
          <w:szCs w:val="32"/>
          <w:highlight w:val="none"/>
        </w:rPr>
        <w:t>、灾害防治及应急管理支出</w:t>
      </w:r>
      <w:r>
        <w:rPr>
          <w:rFonts w:hint="eastAsia" w:ascii="仿宋_GB2312" w:hAnsi="宋体" w:eastAsia="仿宋_GB2312" w:cs="宋体"/>
          <w:color w:val="auto"/>
          <w:kern w:val="0"/>
          <w:sz w:val="32"/>
          <w:szCs w:val="32"/>
          <w:highlight w:val="none"/>
          <w:lang w:val="en-US" w:eastAsia="zh-CN"/>
        </w:rPr>
        <w:t>307万元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rPr>
        <w:t>呼图壁县发展和改革委员会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呼图壁县发展和改革委员会收入预算</w:t>
      </w:r>
      <w:r>
        <w:rPr>
          <w:rFonts w:hint="eastAsia" w:ascii="仿宋_GB2312" w:hAnsi="宋体" w:eastAsia="仿宋_GB2312" w:cs="宋体"/>
          <w:color w:val="auto"/>
          <w:kern w:val="0"/>
          <w:sz w:val="32"/>
          <w:szCs w:val="32"/>
          <w:highlight w:val="none"/>
          <w:lang w:val="en-US" w:eastAsia="zh-CN"/>
        </w:rPr>
        <w:t>2315.88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1633.88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70.55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230.33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16.41%，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本年度单位在职人员人数增加，工资福利费用预算增加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0.32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本年度上级安排转移支付项目资金减少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 占</w:t>
      </w:r>
      <w:r>
        <w:rPr>
          <w:rFonts w:hint="eastAsia" w:ascii="仿宋_GB2312" w:hAnsi="宋体" w:eastAsia="仿宋_GB2312" w:cs="宋体"/>
          <w:color w:val="auto"/>
          <w:kern w:val="0"/>
          <w:sz w:val="32"/>
          <w:szCs w:val="32"/>
          <w:highlight w:val="none"/>
          <w:lang w:val="en-US" w:eastAsia="zh-CN"/>
        </w:rPr>
        <w:t>0.43</w:t>
      </w:r>
      <w:r>
        <w:rPr>
          <w:rFonts w:hint="eastAsia" w:ascii="仿宋_GB2312" w:hAnsi="宋体" w:eastAsia="仿宋_GB2312" w:cs="宋体"/>
          <w:color w:val="auto"/>
          <w:kern w:val="0"/>
          <w:sz w:val="32"/>
          <w:szCs w:val="32"/>
          <w:highlight w:val="none"/>
        </w:rPr>
        <w:t xml:space="preserve">%，比上年预算减少  </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本年度隐形债务化解数减少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365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15.76</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315.04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630.58 %，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本年度援疆资金等单位资金收入增加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307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13.26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主要原因是石梯子西沟煤矿2023年瓦斯地面预抽项目</w:t>
      </w:r>
      <w:r>
        <w:rPr>
          <w:rFonts w:hint="eastAsia" w:ascii="仿宋_GB2312" w:hAnsi="宋体" w:eastAsia="仿宋_GB2312" w:cs="宋体"/>
          <w:color w:val="auto"/>
          <w:kern w:val="0"/>
          <w:sz w:val="32"/>
          <w:szCs w:val="32"/>
          <w:highlight w:val="none"/>
          <w:lang w:eastAsia="zh-CN"/>
        </w:rPr>
        <w:t>未完工，未及时拨款</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rPr>
        <w:t>呼图壁县发展和改革委员会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呼图壁县发展和改革委员会2024年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2315.88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945.20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40.81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556.65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143.26%，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本年度单位在职人员人数增加，部门业务增多，工资福利费用预算增加，各项公用经费支出增加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1370.68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59.19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283.72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26.10%，</w:t>
      </w:r>
      <w:r>
        <w:rPr>
          <w:rFonts w:hint="eastAsia" w:ascii="仿宋_GB2312" w:hAnsi="宋体" w:eastAsia="仿宋_GB2312" w:cs="宋体"/>
          <w:color w:val="auto"/>
          <w:kern w:val="0"/>
          <w:sz w:val="32"/>
          <w:szCs w:val="32"/>
          <w:highlight w:val="none"/>
        </w:rPr>
        <w:t>主要原因是石梯子西沟煤矿2023年瓦斯地面预抽项目</w:t>
      </w:r>
      <w:r>
        <w:rPr>
          <w:rFonts w:hint="eastAsia" w:ascii="仿宋_GB2312" w:hAnsi="宋体" w:eastAsia="仿宋_GB2312" w:cs="宋体"/>
          <w:color w:val="auto"/>
          <w:kern w:val="0"/>
          <w:sz w:val="32"/>
          <w:szCs w:val="32"/>
          <w:highlight w:val="none"/>
          <w:lang w:eastAsia="zh-CN"/>
        </w:rPr>
        <w:t>未完工，未及时拨款，导致今年项目支出增多</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四、关于呼图壁县发展和改革委员会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0"/>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1950.88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1940.88</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rPr>
        <w:t>一般公共服务支出</w:t>
      </w:r>
      <w:r>
        <w:rPr>
          <w:rFonts w:hint="eastAsia" w:ascii="仿宋_GB2312" w:hAnsi="宋体" w:eastAsia="仿宋_GB2312" w:cs="宋体"/>
          <w:kern w:val="0"/>
          <w:sz w:val="32"/>
          <w:szCs w:val="32"/>
          <w:lang w:val="en-US" w:eastAsia="zh-CN"/>
        </w:rPr>
        <w:t>1473.40</w:t>
      </w:r>
      <w:r>
        <w:rPr>
          <w:rFonts w:hint="eastAsia" w:ascii="仿宋_GB2312" w:hAnsi="宋体" w:eastAsia="仿宋_GB2312" w:cs="宋体"/>
          <w:kern w:val="0"/>
          <w:sz w:val="32"/>
          <w:szCs w:val="32"/>
        </w:rPr>
        <w:t>万元，主要用于人员经费、工资等；社会保障和就业支出</w:t>
      </w:r>
      <w:r>
        <w:rPr>
          <w:rFonts w:hint="eastAsia" w:ascii="仿宋_GB2312" w:hAnsi="宋体" w:eastAsia="仿宋_GB2312" w:cs="宋体"/>
          <w:kern w:val="0"/>
          <w:sz w:val="32"/>
          <w:szCs w:val="32"/>
          <w:lang w:val="en-US" w:eastAsia="zh-CN"/>
        </w:rPr>
        <w:t>81.77</w:t>
      </w:r>
      <w:r>
        <w:rPr>
          <w:rFonts w:hint="eastAsia" w:ascii="仿宋_GB2312" w:hAnsi="宋体" w:eastAsia="仿宋_GB2312" w:cs="宋体"/>
          <w:kern w:val="0"/>
          <w:sz w:val="32"/>
          <w:szCs w:val="32"/>
        </w:rPr>
        <w:t>万元，主要用于在职人员社会保险；卫生健康支出</w:t>
      </w:r>
      <w:r>
        <w:rPr>
          <w:rFonts w:hint="eastAsia" w:ascii="仿宋_GB2312" w:hAnsi="宋体" w:eastAsia="仿宋_GB2312" w:cs="宋体"/>
          <w:kern w:val="0"/>
          <w:sz w:val="32"/>
          <w:szCs w:val="32"/>
          <w:lang w:val="en-US" w:eastAsia="zh-CN"/>
        </w:rPr>
        <w:t>34.23</w:t>
      </w:r>
      <w:r>
        <w:rPr>
          <w:rFonts w:hint="eastAsia" w:ascii="仿宋_GB2312" w:hAnsi="宋体" w:eastAsia="仿宋_GB2312" w:cs="宋体"/>
          <w:kern w:val="0"/>
          <w:sz w:val="32"/>
          <w:szCs w:val="32"/>
        </w:rPr>
        <w:t>万元，主要用于在职人员医疗保险；住房保障支出</w:t>
      </w:r>
      <w:r>
        <w:rPr>
          <w:rFonts w:hint="eastAsia" w:ascii="仿宋_GB2312" w:hAnsi="宋体" w:eastAsia="仿宋_GB2312" w:cs="宋体"/>
          <w:kern w:val="0"/>
          <w:sz w:val="32"/>
          <w:szCs w:val="32"/>
          <w:lang w:val="en-US" w:eastAsia="zh-CN"/>
        </w:rPr>
        <w:t>44.48</w:t>
      </w:r>
      <w:r>
        <w:rPr>
          <w:rFonts w:hint="eastAsia" w:ascii="仿宋_GB2312" w:hAnsi="宋体" w:eastAsia="仿宋_GB2312" w:cs="宋体"/>
          <w:kern w:val="0"/>
          <w:sz w:val="32"/>
          <w:szCs w:val="32"/>
        </w:rPr>
        <w:t>万元，主要用于在职人员住房公积金。</w:t>
      </w:r>
      <w:r>
        <w:rPr>
          <w:rFonts w:hint="eastAsia" w:ascii="仿宋_GB2312" w:hAnsi="宋体" w:eastAsia="仿宋_GB2312" w:cs="宋体"/>
          <w:kern w:val="0"/>
          <w:sz w:val="32"/>
          <w:szCs w:val="32"/>
          <w:lang w:eastAsia="zh-CN"/>
        </w:rPr>
        <w:t>灾害防治及应急管理支出</w:t>
      </w:r>
      <w:r>
        <w:rPr>
          <w:rFonts w:hint="eastAsia" w:ascii="仿宋_GB2312" w:hAnsi="宋体" w:eastAsia="仿宋_GB2312" w:cs="宋体"/>
          <w:kern w:val="0"/>
          <w:sz w:val="32"/>
          <w:szCs w:val="32"/>
          <w:lang w:val="en-US" w:eastAsia="zh-CN"/>
        </w:rPr>
        <w:t>307万元，主要用于</w:t>
      </w:r>
      <w:r>
        <w:rPr>
          <w:rFonts w:hint="eastAsia" w:ascii="仿宋_GB2312" w:hAnsi="宋体" w:eastAsia="仿宋_GB2312" w:cs="宋体"/>
          <w:color w:val="auto"/>
          <w:kern w:val="0"/>
          <w:sz w:val="32"/>
          <w:szCs w:val="32"/>
          <w:highlight w:val="none"/>
        </w:rPr>
        <w:t>石梯子西沟煤矿2023年瓦斯地面预抽项目</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支出包括：城乡社区支出10万元，主要用于政府隐形债务还款。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呼图壁县发展和改革委员会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呼图壁县发展和改革委员会2024年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1940.88</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580.20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191.65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49.32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rPr>
        <w:t>本年较上年在编人数</w:t>
      </w:r>
      <w:r>
        <w:rPr>
          <w:rFonts w:hint="eastAsia" w:ascii="仿宋_GB2312" w:hAnsi="宋体" w:eastAsia="仿宋_GB2312" w:cs="宋体"/>
          <w:kern w:val="0"/>
          <w:sz w:val="32"/>
          <w:szCs w:val="32"/>
          <w:lang w:eastAsia="zh-CN"/>
        </w:rPr>
        <w:t>增多</w:t>
      </w:r>
      <w:r>
        <w:rPr>
          <w:rFonts w:hint="eastAsia" w:ascii="仿宋_GB2312" w:hAnsi="宋体" w:eastAsia="仿宋_GB2312" w:cs="宋体"/>
          <w:kern w:val="0"/>
          <w:sz w:val="32"/>
          <w:szCs w:val="32"/>
        </w:rPr>
        <w:t>，人员类支出</w:t>
      </w:r>
      <w:r>
        <w:rPr>
          <w:rFonts w:hint="eastAsia" w:ascii="仿宋_GB2312" w:hAnsi="宋体" w:eastAsia="仿宋_GB2312" w:cs="宋体"/>
          <w:kern w:val="0"/>
          <w:sz w:val="32"/>
          <w:szCs w:val="32"/>
          <w:lang w:eastAsia="zh-CN"/>
        </w:rPr>
        <w:t>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1360.68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273.72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25.18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石梯子西沟煤矿2023年瓦斯地面预抽项目</w:t>
      </w:r>
      <w:r>
        <w:rPr>
          <w:rFonts w:hint="eastAsia" w:ascii="仿宋_GB2312" w:hAnsi="宋体" w:eastAsia="仿宋_GB2312" w:cs="宋体"/>
          <w:color w:val="auto"/>
          <w:kern w:val="0"/>
          <w:sz w:val="32"/>
          <w:szCs w:val="32"/>
          <w:highlight w:val="none"/>
          <w:lang w:eastAsia="zh-CN"/>
        </w:rPr>
        <w:t>未完工，未及时拨款，导致今年项目支出增多</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w:t>
      </w:r>
      <w:r>
        <w:rPr>
          <w:rFonts w:hint="eastAsia" w:ascii="仿宋_GB2312" w:eastAsia="仿宋_GB2312"/>
          <w:sz w:val="32"/>
          <w:szCs w:val="32"/>
          <w:lang w:val="en-US" w:eastAsia="zh-CN"/>
        </w:rPr>
        <w:t>1473.40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75.91</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w:t>
      </w:r>
      <w:r>
        <w:rPr>
          <w:rFonts w:hint="eastAsia" w:ascii="仿宋_GB2312" w:eastAsia="仿宋_GB2312"/>
          <w:sz w:val="32"/>
          <w:szCs w:val="32"/>
        </w:rPr>
        <w:t>（类）</w:t>
      </w:r>
      <w:r>
        <w:rPr>
          <w:rFonts w:hint="eastAsia" w:ascii="仿宋_GB2312" w:hAnsi="宋体" w:eastAsia="仿宋_GB2312" w:cs="宋体"/>
          <w:kern w:val="0"/>
          <w:sz w:val="32"/>
          <w:szCs w:val="32"/>
          <w:lang w:val="en-US" w:eastAsia="zh-CN"/>
        </w:rPr>
        <w:t>81.77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4.21</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w:t>
      </w:r>
      <w:r>
        <w:rPr>
          <w:rFonts w:hint="eastAsia" w:ascii="仿宋_GB2312" w:eastAsia="仿宋_GB2312"/>
          <w:sz w:val="32"/>
          <w:szCs w:val="32"/>
        </w:rPr>
        <w:t>（类）</w:t>
      </w:r>
      <w:r>
        <w:rPr>
          <w:rFonts w:hint="eastAsia" w:ascii="仿宋_GB2312" w:hAnsi="宋体" w:eastAsia="仿宋_GB2312" w:cs="宋体"/>
          <w:kern w:val="0"/>
          <w:sz w:val="32"/>
          <w:szCs w:val="32"/>
          <w:lang w:val="en-US" w:eastAsia="zh-CN"/>
        </w:rPr>
        <w:t>34.23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1.76</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4.住房保障支出</w:t>
      </w:r>
      <w:r>
        <w:rPr>
          <w:rFonts w:hint="eastAsia" w:ascii="仿宋_GB2312" w:eastAsia="仿宋_GB2312"/>
          <w:sz w:val="32"/>
          <w:szCs w:val="32"/>
        </w:rPr>
        <w:t>（类）</w:t>
      </w:r>
      <w:r>
        <w:rPr>
          <w:rFonts w:hint="eastAsia" w:ascii="仿宋_GB2312" w:hAnsi="宋体" w:eastAsia="仿宋_GB2312" w:cs="宋体"/>
          <w:kern w:val="0"/>
          <w:sz w:val="32"/>
          <w:szCs w:val="32"/>
          <w:lang w:val="en-US" w:eastAsia="zh-CN"/>
        </w:rPr>
        <w:t>44.48</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2.29</w:t>
      </w:r>
      <w:r>
        <w:rPr>
          <w:rFonts w:hint="eastAsia" w:ascii="仿宋_GB2312" w:hAnsi="宋体" w:eastAsia="仿宋_GB2312" w:cs="宋体"/>
          <w:kern w:val="0"/>
          <w:sz w:val="32"/>
          <w:szCs w:val="32"/>
        </w:rPr>
        <w:t>%。</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5.灾害防治及应急管理支出（类）307万元，占15.82%。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一般公共服务（201类）发展与改革事务（04款）行政运行（01项）：202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203.35</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966.99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82.62</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功能分类科目调整，本科目预算减少。</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一般公共服务（201类）发展与改革事务（04款）</w:t>
      </w:r>
      <w:r>
        <w:rPr>
          <w:rFonts w:hint="eastAsia" w:ascii="仿宋_GB2312" w:hAnsi="宋体" w:eastAsia="仿宋_GB2312" w:cs="宋体"/>
          <w:kern w:val="0"/>
          <w:sz w:val="32"/>
          <w:szCs w:val="32"/>
          <w:lang w:eastAsia="zh-CN"/>
        </w:rPr>
        <w:t>一般行政管理事务</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1000</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1000</w:t>
      </w:r>
      <w:r>
        <w:rPr>
          <w:rFonts w:hint="eastAsia" w:ascii="仿宋_GB2312" w:hAnsi="宋体" w:eastAsia="仿宋_GB2312" w:cs="宋体"/>
          <w:kern w:val="0"/>
          <w:sz w:val="32"/>
          <w:szCs w:val="32"/>
        </w:rPr>
        <w:t>万元，增长100%，主要原因是</w:t>
      </w:r>
      <w:r>
        <w:rPr>
          <w:rFonts w:hint="eastAsia" w:ascii="仿宋_GB2312" w:hAnsi="宋体" w:eastAsia="仿宋_GB2312" w:cs="宋体"/>
          <w:kern w:val="0"/>
          <w:sz w:val="32"/>
          <w:szCs w:val="32"/>
          <w:lang w:eastAsia="zh-CN"/>
        </w:rPr>
        <w:t>功能分类科目调整，本科目预算增加。</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.一般公共服务（201类）发展与改革事务（04款）</w:t>
      </w:r>
      <w:r>
        <w:rPr>
          <w:rFonts w:hint="eastAsia" w:ascii="仿宋_GB2312" w:hAnsi="宋体" w:eastAsia="仿宋_GB2312" w:cs="宋体"/>
          <w:kern w:val="0"/>
          <w:sz w:val="32"/>
          <w:szCs w:val="32"/>
          <w:lang w:eastAsia="zh-CN"/>
        </w:rPr>
        <w:t>物价管理</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08</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6万</w:t>
      </w:r>
      <w:r>
        <w:rPr>
          <w:rFonts w:hint="eastAsia" w:ascii="仿宋_GB2312" w:hAnsi="宋体" w:eastAsia="仿宋_GB2312" w:cs="宋体"/>
          <w:kern w:val="0"/>
          <w:sz w:val="32"/>
          <w:szCs w:val="32"/>
        </w:rPr>
        <w:t>元，比上年预算增加</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万元，增长100%，主要原因是</w:t>
      </w:r>
      <w:r>
        <w:rPr>
          <w:rFonts w:hint="eastAsia" w:ascii="仿宋_GB2312" w:hAnsi="宋体" w:eastAsia="仿宋_GB2312" w:cs="宋体"/>
          <w:kern w:val="0"/>
          <w:sz w:val="32"/>
          <w:szCs w:val="32"/>
          <w:lang w:eastAsia="zh-CN"/>
        </w:rPr>
        <w:t>功能分类科目调整，本科目预算增加。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.一般公共服务（201类）发展与改革事务（04款）事业运行（50项）：202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216.38</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105.26</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94.73</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事业编制人员增加，人员类支出预算增加</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.一般公共服务（201类）发展与改革事务（04款）其他发展与改革事务支出（99项）：202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47.68</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30.68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180.47</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本年度项目预算增加</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.社会保障和就业支出（208类）行政事业单位养老支出（05款）</w:t>
      </w:r>
      <w:r>
        <w:rPr>
          <w:rFonts w:hint="eastAsia" w:ascii="仿宋_GB2312" w:hAnsi="宋体" w:eastAsia="仿宋_GB2312" w:cs="宋体"/>
          <w:kern w:val="0"/>
          <w:sz w:val="32"/>
          <w:szCs w:val="32"/>
          <w:lang w:eastAsia="zh-CN"/>
        </w:rPr>
        <w:t>行政单位离退休</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20.30</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20.30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功能分类科目调整，本科目预算增加</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.社会保障和就业支出（208类）行政事业单位养老支出（05款）</w:t>
      </w:r>
      <w:r>
        <w:rPr>
          <w:rFonts w:hint="eastAsia" w:ascii="仿宋_GB2312" w:hAnsi="宋体" w:eastAsia="仿宋_GB2312" w:cs="宋体"/>
          <w:kern w:val="0"/>
          <w:sz w:val="32"/>
          <w:szCs w:val="32"/>
          <w:lang w:eastAsia="zh-CN"/>
        </w:rPr>
        <w:t>事业单位离退休</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8.10</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8.10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功能分类科目调整，本科目预算增加</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.社会保障和就业支出（208类）行政事业单位养老支出（05款）机关事业单位基本养老保险缴费支出（05项）：202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53.37</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20.63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63.01</w:t>
      </w:r>
      <w:r>
        <w:rPr>
          <w:rFonts w:hint="eastAsia" w:ascii="仿宋_GB2312" w:hAnsi="宋体" w:eastAsia="仿宋_GB2312" w:cs="宋体"/>
          <w:kern w:val="0"/>
          <w:sz w:val="32"/>
          <w:szCs w:val="32"/>
        </w:rPr>
        <w:t>％，主要原因是本年较上年在编人数</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rPr>
        <w:t>，人员类支出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.卫生健康支出（210类）行政单位事业单位医疗（11款）行政单位医疗（01项）：202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11.35</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69.61</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功能分类科目调整，本科目预算减少</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.卫生健康支出（210类）行政单位事业单位医疗（11款）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单位医疗（0</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15.34</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15.34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功能分类科目调整，本科目预算增加</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.卫生健康支出（210类）行政单位事业单位医疗（11款）公务员医疗补助（03项）：202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7.34</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2.93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28.53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退休人员公务员医疗补助不再纳入预算</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本项预算减少</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.卫生健康支出（210类）行政单位事业单位医疗（11款）其他行政事业单位医疗支出（99项）：202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年预算数为0.2万元，比上年预算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0.01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4.76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功能分类科目调整</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.住房保障支出（221类）住房改革支出（02款）住房公积金（01项）：202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44.48</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17.96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67.72</w:t>
      </w:r>
      <w:r>
        <w:rPr>
          <w:rFonts w:hint="eastAsia" w:ascii="仿宋_GB2312" w:hAnsi="宋体" w:eastAsia="仿宋_GB2312" w:cs="宋体"/>
          <w:kern w:val="0"/>
          <w:sz w:val="32"/>
          <w:szCs w:val="32"/>
        </w:rPr>
        <w:t>%，主要原因是本年较上年在编人数</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rPr>
        <w:t>，人员类支出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灾害防治及应急管理支出（</w:t>
      </w:r>
      <w:r>
        <w:rPr>
          <w:rFonts w:hint="eastAsia" w:ascii="仿宋_GB2312" w:hAnsi="宋体" w:eastAsia="仿宋_GB2312" w:cs="宋体"/>
          <w:kern w:val="0"/>
          <w:sz w:val="32"/>
          <w:szCs w:val="32"/>
          <w:lang w:val="en-US" w:eastAsia="zh-CN"/>
        </w:rPr>
        <w:t>224</w:t>
      </w:r>
      <w:r>
        <w:rPr>
          <w:rFonts w:hint="eastAsia" w:ascii="仿宋_GB2312" w:hAnsi="宋体" w:eastAsia="仿宋_GB2312" w:cs="宋体"/>
          <w:kern w:val="0"/>
          <w:sz w:val="32"/>
          <w:szCs w:val="32"/>
        </w:rPr>
        <w:t>类）</w:t>
      </w:r>
      <w:r>
        <w:rPr>
          <w:rFonts w:hint="eastAsia" w:ascii="仿宋_GB2312" w:hAnsi="宋体" w:eastAsia="仿宋_GB2312" w:cs="宋体"/>
          <w:kern w:val="0"/>
          <w:sz w:val="32"/>
          <w:szCs w:val="32"/>
          <w:lang w:eastAsia="zh-CN"/>
        </w:rPr>
        <w:t>矿山安全</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04</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其他矿山安全支出</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307</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307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新增</w:t>
      </w:r>
      <w:r>
        <w:rPr>
          <w:rFonts w:hint="eastAsia" w:ascii="仿宋_GB2312" w:hAnsi="宋体" w:eastAsia="仿宋_GB2312" w:cs="宋体"/>
          <w:color w:val="auto"/>
          <w:kern w:val="0"/>
          <w:sz w:val="32"/>
          <w:szCs w:val="32"/>
          <w:highlight w:val="none"/>
        </w:rPr>
        <w:t>石梯子西沟煤矿2023年瓦斯地面预抽项目</w:t>
      </w:r>
      <w:r>
        <w:rPr>
          <w:rFonts w:hint="eastAsia" w:ascii="仿宋_GB2312" w:hAnsi="宋体" w:eastAsia="仿宋_GB2312" w:cs="宋体"/>
          <w:color w:val="auto"/>
          <w:kern w:val="0"/>
          <w:sz w:val="32"/>
          <w:szCs w:val="32"/>
          <w:highlight w:val="none"/>
          <w:lang w:eastAsia="zh-CN"/>
        </w:rPr>
        <w:t>预算</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rPr>
        <w:t>呼图壁县发展和改革委员会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呼图壁县发展和改革委员会2024年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580.20</w:t>
      </w:r>
      <w:r>
        <w:rPr>
          <w:rFonts w:hint="eastAsia" w:ascii="仿宋_GB2312" w:hAnsi="宋体" w:eastAsia="仿宋_GB2312" w:cs="宋体"/>
          <w:color w:val="auto"/>
          <w:spacing w:val="-6"/>
          <w:kern w:val="0"/>
          <w:sz w:val="32"/>
          <w:szCs w:val="32"/>
          <w:highlight w:val="none"/>
        </w:rPr>
        <w:t>万元， 其中：</w:t>
      </w:r>
    </w:p>
    <w:p>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561.86</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18.34</w:t>
      </w:r>
      <w:r>
        <w:rPr>
          <w:rFonts w:hint="eastAsia" w:ascii="仿宋_GB2312" w:hAnsi="宋体" w:eastAsia="仿宋_GB2312" w:cs="宋体"/>
          <w:color w:val="auto"/>
          <w:kern w:val="0"/>
          <w:sz w:val="32"/>
          <w:szCs w:val="32"/>
          <w:highlight w:val="none"/>
        </w:rPr>
        <w:t>万元，主要包括：办公费、印刷费、电费、邮电费、取暖费、差旅费、维修（护）费、公务接待费、工会经费、公务用车运行维护费等。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关于呼图壁县发展和改革委员会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：项目前期编制费项目（非定额）</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年呼图壁县政府工作报告</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1000万元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：呼图壁县发展和改革委员会</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全县各项目前期费按比例分配至项目单位，预计支出委托业务费</w:t>
      </w:r>
      <w:r>
        <w:rPr>
          <w:rFonts w:hint="eastAsia" w:ascii="仿宋_GB2312" w:hAnsi="宋体" w:eastAsia="仿宋_GB2312" w:cs="宋体"/>
          <w:kern w:val="0"/>
          <w:sz w:val="32"/>
          <w:szCs w:val="32"/>
        </w:rPr>
        <w:t>1000万元</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：政府定价服务成本监审费用项目（非定额）</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：《政府制定价格成本监审办法》第五章第44条</w:t>
      </w:r>
      <w:r>
        <w:rPr>
          <w:rFonts w:hint="eastAsia" w:ascii="仿宋_GB2312" w:hAnsi="黑体" w:eastAsia="仿宋_GB2312"/>
          <w:sz w:val="32"/>
          <w:szCs w:val="32"/>
          <w:lang w:eastAsia="zh-CN"/>
        </w:rPr>
        <w:t>：</w:t>
      </w:r>
      <w:r>
        <w:rPr>
          <w:rFonts w:hint="eastAsia" w:ascii="仿宋_GB2312" w:hAnsi="黑体" w:eastAsia="仿宋_GB2312"/>
          <w:sz w:val="32"/>
          <w:szCs w:val="32"/>
        </w:rPr>
        <w:t>成本监审所需费经费，纳入本部门年度同级预算</w:t>
      </w:r>
      <w:r>
        <w:rPr>
          <w:rFonts w:hint="eastAsia" w:ascii="仿宋_GB2312" w:hAnsi="黑体" w:eastAsia="仿宋_GB2312"/>
          <w:sz w:val="32"/>
          <w:szCs w:val="32"/>
          <w:lang w:eastAsia="zh-CN"/>
        </w:rPr>
        <w:t>。</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：呼图壁县发展和改革委员会</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发改委委托宏昌对华电、热力、新颖2020-2022年供热定价成本和公共供热管网资产折旧进行成本监审，合同约定：城镇供热成本监审费6万元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numPr>
          <w:ilvl w:val="0"/>
          <w:numId w:val="1"/>
        </w:num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应急储备面粉项目（非定额）</w:t>
      </w:r>
    </w:p>
    <w:p>
      <w:pPr>
        <w:numPr>
          <w:ilvl w:val="0"/>
          <w:numId w:val="0"/>
        </w:num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：《关于下达2015年昌吉州面粉应急储备计划及考核相关事宜的通知》，《昌吉州完善重要民生商品价格调控机制工作方案》</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15万元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：中粮八一面业（呼图壁）有限公司</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预计向</w:t>
      </w:r>
      <w:r>
        <w:rPr>
          <w:rFonts w:hint="eastAsia" w:ascii="仿宋_GB2312" w:hAnsi="黑体" w:eastAsia="仿宋_GB2312"/>
          <w:sz w:val="32"/>
          <w:szCs w:val="32"/>
        </w:rPr>
        <w:t>中粮八一面业（呼图壁）有限公司</w:t>
      </w:r>
      <w:r>
        <w:rPr>
          <w:rFonts w:hint="eastAsia" w:ascii="仿宋_GB2312" w:hAnsi="黑体" w:eastAsia="仿宋_GB2312"/>
          <w:sz w:val="32"/>
          <w:szCs w:val="32"/>
          <w:lang w:eastAsia="zh-CN"/>
        </w:rPr>
        <w:t>支付委托业务费</w:t>
      </w:r>
      <w:r>
        <w:rPr>
          <w:rFonts w:hint="eastAsia" w:ascii="仿宋_GB2312" w:hAnsi="宋体" w:eastAsia="仿宋_GB2312" w:cs="宋体"/>
          <w:kern w:val="0"/>
          <w:sz w:val="32"/>
          <w:szCs w:val="32"/>
          <w:lang w:val="en-US" w:eastAsia="zh-CN"/>
        </w:rPr>
        <w:t>15万元。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numPr>
          <w:ilvl w:val="0"/>
          <w:numId w:val="0"/>
        </w:num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人民防空工作经费项目（非定额）</w:t>
      </w:r>
    </w:p>
    <w:p>
      <w:pPr>
        <w:numPr>
          <w:ilvl w:val="0"/>
          <w:numId w:val="0"/>
        </w:num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：《中华人民共和国人民防空法》、《新疆维吾尔自治区实施&lt;中华人民共和国人民防空法&gt;办法》第一章第四条</w:t>
      </w:r>
      <w:r>
        <w:rPr>
          <w:rFonts w:hint="eastAsia" w:ascii="仿宋_GB2312" w:hAnsi="黑体" w:eastAsia="仿宋_GB2312"/>
          <w:sz w:val="32"/>
          <w:szCs w:val="32"/>
          <w:lang w:eastAsia="zh-CN"/>
        </w:rPr>
        <w:t>：</w:t>
      </w:r>
      <w:r>
        <w:rPr>
          <w:rFonts w:hint="eastAsia" w:ascii="仿宋_GB2312" w:hAnsi="黑体" w:eastAsia="仿宋_GB2312"/>
          <w:sz w:val="32"/>
          <w:szCs w:val="32"/>
        </w:rPr>
        <w:t>县级以上地方各级人民政府负担的人民防空经费，列入地方各级预算</w:t>
      </w:r>
      <w:r>
        <w:rPr>
          <w:rFonts w:hint="eastAsia" w:ascii="仿宋_GB2312" w:hAnsi="黑体" w:eastAsia="仿宋_GB2312"/>
          <w:sz w:val="32"/>
          <w:szCs w:val="32"/>
          <w:lang w:eastAsia="zh-CN"/>
        </w:rPr>
        <w:t>。</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30</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：呼图壁县发展和改革委员会</w:t>
      </w:r>
      <w:r>
        <w:rPr>
          <w:rFonts w:hint="eastAsia" w:ascii="仿宋_GB2312" w:hAnsi="黑体" w:eastAsia="仿宋_GB2312"/>
          <w:sz w:val="32"/>
          <w:szCs w:val="32"/>
          <w:lang w:eastAsia="zh-CN"/>
        </w:rPr>
        <w:t>国防动员办公室</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：按照昌吉州国动办前期安装情况及我县实际，购买及安装人民防空警报器</w:t>
      </w:r>
      <w:r>
        <w:rPr>
          <w:rFonts w:hint="eastAsia" w:ascii="仿宋_GB2312" w:hAnsi="黑体" w:eastAsia="仿宋_GB2312"/>
          <w:sz w:val="32"/>
          <w:szCs w:val="32"/>
          <w:lang w:eastAsia="zh-CN"/>
        </w:rPr>
        <w:t>，预计支出资本性支出</w:t>
      </w:r>
      <w:r>
        <w:rPr>
          <w:rFonts w:hint="eastAsia" w:ascii="仿宋_GB2312" w:hAnsi="黑体" w:eastAsia="仿宋_GB2312"/>
          <w:sz w:val="32"/>
          <w:szCs w:val="32"/>
          <w:lang w:val="en-US" w:eastAsia="zh-CN"/>
        </w:rPr>
        <w:t>30万元</w:t>
      </w:r>
      <w:r>
        <w:rPr>
          <w:rFonts w:hint="eastAsia" w:ascii="仿宋_GB2312" w:hAnsi="黑体" w:eastAsia="仿宋_GB2312"/>
          <w:sz w:val="32"/>
          <w:szCs w:val="32"/>
          <w:lang w:eastAsia="zh-CN"/>
        </w:rPr>
        <w:t>。</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：粮食质量安全检查和监测经费项目（非定额）</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：《粮食质量安全监管办法》中第六章第41条：开展粮食质量安全检查和监测所需的必要合理费用，应当纳入同级财政预算。</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：呼图壁县发展和改革委员会</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对粮食质量安全进行监测和检查，根据实际支出测算，预计支出办公费</w:t>
      </w:r>
      <w:r>
        <w:rPr>
          <w:rFonts w:hint="eastAsia" w:ascii="仿宋_GB2312" w:hAnsi="黑体" w:eastAsia="仿宋_GB2312"/>
          <w:sz w:val="32"/>
          <w:szCs w:val="32"/>
          <w:lang w:val="en-US" w:eastAsia="zh-CN"/>
        </w:rPr>
        <w:t>1万元</w:t>
      </w:r>
      <w:r>
        <w:rPr>
          <w:rFonts w:hint="eastAsia" w:ascii="仿宋_GB2312" w:hAnsi="黑体" w:eastAsia="仿宋_GB2312"/>
          <w:sz w:val="32"/>
          <w:szCs w:val="32"/>
          <w:lang w:eastAsia="zh-CN"/>
        </w:rPr>
        <w:t>。</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：关于提前下达2024年下达农产品成本调查经费预算的通知-2024年农产品成本调查项目</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：昌州财建[2023]166号</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1.68</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：呼图壁县发展和改革委员会</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资金包括调查人员外勤补助和差旅费、调查农户误工费、开展调查工作办公经费，预计支出委托业务费</w:t>
      </w:r>
      <w:r>
        <w:rPr>
          <w:rFonts w:hint="eastAsia" w:ascii="仿宋_GB2312" w:hAnsi="黑体" w:eastAsia="仿宋_GB2312"/>
          <w:sz w:val="32"/>
          <w:szCs w:val="32"/>
          <w:lang w:val="en-US" w:eastAsia="zh-CN"/>
        </w:rPr>
        <w:t>1.68万元。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：关于下达2023年煤矿安全改造专项中央基建投资预算的通知-石梯子西沟煤矿2023年瓦斯地面预抽项目</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：昌州财建[2023]67号</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307</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：呼图壁县发展和改革委员会</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新疆呼图壁县石梯子西沟煤炭有限责任公司2023年瓦斯地面预抽项目资金，预计支出资本性支出（基本建设）</w:t>
      </w:r>
      <w:r>
        <w:rPr>
          <w:rFonts w:hint="eastAsia" w:ascii="仿宋_GB2312" w:hAnsi="黑体" w:eastAsia="仿宋_GB2312"/>
          <w:sz w:val="32"/>
          <w:szCs w:val="32"/>
          <w:lang w:val="en-US" w:eastAsia="zh-CN"/>
        </w:rPr>
        <w:t>307万元。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、关于呼图壁县发展和改革委员会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呼图壁县发展和改革委员会年政府性基金支出预算支出</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万元。与上年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万元，主要原因是</w:t>
      </w:r>
      <w:r>
        <w:rPr>
          <w:rFonts w:hint="eastAsia" w:ascii="仿宋" w:hAnsi="仿宋" w:eastAsia="仿宋" w:cs="仿宋_GB2312"/>
          <w:sz w:val="32"/>
          <w:szCs w:val="32"/>
          <w:lang w:eastAsia="zh-CN"/>
        </w:rPr>
        <w:t>本年度隐性债务减少，支出预算减少</w:t>
      </w:r>
      <w:r>
        <w:rPr>
          <w:rFonts w:hint="eastAsia" w:ascii="仿宋_GB2312" w:hAnsi="仿宋_GB2312" w:eastAsia="仿宋_GB2312" w:cs="仿宋_GB2312"/>
          <w:kern w:val="0"/>
          <w:sz w:val="32"/>
          <w:szCs w:val="32"/>
        </w:rPr>
        <w:t xml:space="preserve">。其中：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1.城乡社区支出（212类）</w:t>
      </w:r>
      <w:r>
        <w:rPr>
          <w:rFonts w:hint="eastAsia" w:ascii="仿宋_GB2312" w:hAnsi="仿宋_GB2312" w:eastAsia="仿宋_GB2312" w:cs="仿宋_GB2312"/>
          <w:sz w:val="32"/>
          <w:szCs w:val="32"/>
          <w:lang w:eastAsia="zh-CN"/>
        </w:rPr>
        <w:t>国有土地使用权出让收入安排的支出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款）其他国有土地使用权出让收入安排的支出（99项）支出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sz w:val="32"/>
          <w:szCs w:val="32"/>
        </w:rPr>
        <w:t>主要是用于偿还本年债务支出。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呼图壁县发展和改革委员会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kern w:val="0"/>
          <w:sz w:val="32"/>
          <w:szCs w:val="32"/>
        </w:rPr>
        <w:t>呼图壁县发展和改革委员会202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呼图壁县发展和改革委员会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呼图壁县发展和改革委员会202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w:t>
      </w:r>
      <w:r>
        <w:rPr>
          <w:rFonts w:hint="eastAsia" w:ascii="仿宋_GB2312" w:hAnsi="宋体" w:eastAsia="仿宋_GB2312" w:cs="宋体"/>
          <w:kern w:val="0"/>
          <w:sz w:val="32"/>
          <w:szCs w:val="32"/>
          <w:lang w:val="en-US" w:eastAsia="zh-CN"/>
        </w:rPr>
        <w:t>5.82</w:t>
      </w:r>
      <w:r>
        <w:rPr>
          <w:rFonts w:hint="eastAsia" w:ascii="仿宋_GB2312" w:hAnsi="宋体" w:eastAsia="仿宋_GB2312" w:cs="宋体"/>
          <w:kern w:val="0"/>
          <w:sz w:val="32"/>
          <w:szCs w:val="32"/>
        </w:rPr>
        <w:t>万元，其中：因公出国（境）费0万元，公务</w:t>
      </w:r>
      <w:r>
        <w:rPr>
          <w:rFonts w:hint="eastAsia" w:ascii="仿宋_GB2312" w:hAnsi="宋体" w:eastAsia="仿宋_GB2312" w:cs="宋体"/>
          <w:color w:val="000000"/>
          <w:kern w:val="0"/>
          <w:sz w:val="32"/>
          <w:szCs w:val="32"/>
        </w:rPr>
        <w:t>用车购置费0</w:t>
      </w:r>
      <w:r>
        <w:rPr>
          <w:rFonts w:hint="eastAsia" w:ascii="仿宋_GB2312" w:hAnsi="宋体" w:eastAsia="仿宋_GB2312" w:cs="宋体"/>
          <w:kern w:val="0"/>
          <w:sz w:val="32"/>
          <w:szCs w:val="32"/>
        </w:rPr>
        <w:t>万元，公务用车运行费</w:t>
      </w:r>
      <w:r>
        <w:rPr>
          <w:rFonts w:hint="eastAsia" w:ascii="仿宋_GB2312" w:hAnsi="宋体" w:eastAsia="仿宋_GB2312" w:cs="宋体"/>
          <w:kern w:val="0"/>
          <w:sz w:val="32"/>
          <w:szCs w:val="32"/>
          <w:lang w:val="en-US" w:eastAsia="zh-CN"/>
        </w:rPr>
        <w:t>4.8</w:t>
      </w:r>
      <w:r>
        <w:rPr>
          <w:rFonts w:hint="eastAsia" w:ascii="仿宋_GB2312" w:hAnsi="宋体" w:eastAsia="仿宋_GB2312" w:cs="宋体"/>
          <w:kern w:val="0"/>
          <w:sz w:val="32"/>
          <w:szCs w:val="32"/>
        </w:rPr>
        <w:t>万元，公务接待费</w:t>
      </w:r>
      <w:r>
        <w:rPr>
          <w:rFonts w:hint="eastAsia" w:ascii="仿宋_GB2312" w:hAnsi="宋体" w:eastAsia="仿宋_GB2312" w:cs="宋体"/>
          <w:kern w:val="0"/>
          <w:sz w:val="32"/>
          <w:szCs w:val="32"/>
          <w:lang w:val="en-US" w:eastAsia="zh-CN"/>
        </w:rPr>
        <w:t>1.02</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3.78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39.38%，</w:t>
      </w:r>
      <w:r>
        <w:rPr>
          <w:rFonts w:hint="eastAsia" w:ascii="仿宋_GB2312" w:hAnsi="宋体" w:eastAsia="仿宋_GB2312" w:cs="宋体"/>
          <w:color w:val="auto"/>
          <w:kern w:val="0"/>
          <w:sz w:val="32"/>
          <w:szCs w:val="32"/>
          <w:highlight w:val="none"/>
        </w:rPr>
        <w:t>其中：公务用车运行费减少</w:t>
      </w:r>
      <w:r>
        <w:rPr>
          <w:rFonts w:hint="eastAsia" w:ascii="仿宋_GB2312" w:hAnsi="宋体" w:eastAsia="仿宋_GB2312" w:cs="宋体"/>
          <w:color w:val="auto"/>
          <w:kern w:val="0"/>
          <w:sz w:val="32"/>
          <w:szCs w:val="32"/>
          <w:highlight w:val="none"/>
          <w:lang w:val="en-US" w:eastAsia="zh-CN"/>
        </w:rPr>
        <w:t>4.8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我单位目前正常使用的公务用车为</w:t>
      </w:r>
      <w:r>
        <w:rPr>
          <w:rFonts w:hint="eastAsia" w:ascii="仿宋_GB2312" w:hAnsi="宋体" w:eastAsia="仿宋_GB2312" w:cs="宋体"/>
          <w:color w:val="auto"/>
          <w:kern w:val="0"/>
          <w:sz w:val="32"/>
          <w:szCs w:val="32"/>
          <w:highlight w:val="none"/>
          <w:lang w:val="en-US" w:eastAsia="zh-CN"/>
        </w:rPr>
        <w:t>3辆，按照1.8万元/年/车的标准，确定公务用车运行费为4.8万元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1.02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我单位在职人数</w:t>
      </w:r>
      <w:r>
        <w:rPr>
          <w:rFonts w:hint="eastAsia" w:ascii="仿宋_GB2312" w:hAnsi="宋体" w:eastAsia="仿宋_GB2312" w:cs="宋体"/>
          <w:color w:val="auto"/>
          <w:kern w:val="0"/>
          <w:sz w:val="32"/>
          <w:szCs w:val="32"/>
          <w:highlight w:val="none"/>
          <w:lang w:val="en-US" w:eastAsia="zh-CN"/>
        </w:rPr>
        <w:t>34人，按照300元/年/车的标准，确定公务接待费为1.02万元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与上年持平；</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与上年持平</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呼图壁县发展和改革委员会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呼图壁县发展和改革委员会2024年</w:t>
      </w:r>
      <w:r>
        <w:rPr>
          <w:rFonts w:hint="eastAsia" w:ascii="仿宋_GB2312" w:hAnsi="仿宋_GB2312" w:eastAsia="仿宋_GB2312" w:cs="仿宋_GB2312"/>
          <w:color w:val="auto"/>
          <w:kern w:val="0"/>
          <w:sz w:val="32"/>
          <w:szCs w:val="32"/>
          <w:highlight w:val="none"/>
          <w:lang w:val="en-US" w:eastAsia="zh-CN"/>
        </w:rPr>
        <w:t>上年结转结余307万元，包括：财政拨款307万元，非财政拨款0万元，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1.关于下达2023年煤矿安全改造专项中央基建投资预算的通知-石梯子西沟煤矿2023年瓦斯地面预抽项目307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主要用于：石梯子西沟煤矿2023年瓦斯地面预抽项目补助资金。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年，呼图壁县发展和改革委员会本级及下属</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家行政单位和</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家事业单位机关运行经费财政拨款预算</w:t>
      </w:r>
      <w:r>
        <w:rPr>
          <w:rFonts w:hint="eastAsia" w:ascii="仿宋_GB2312" w:hAnsi="仿宋_GB2312" w:eastAsia="仿宋_GB2312" w:cs="仿宋_GB2312"/>
          <w:kern w:val="0"/>
          <w:sz w:val="32"/>
          <w:szCs w:val="32"/>
          <w:lang w:val="en-US" w:eastAsia="zh-CN"/>
        </w:rPr>
        <w:t>18.34</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1.99</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12.17</w:t>
      </w:r>
      <w:r>
        <w:rPr>
          <w:rFonts w:hint="eastAsia" w:ascii="仿宋_GB2312" w:hAnsi="仿宋_GB2312" w:eastAsia="仿宋_GB2312" w:cs="仿宋_GB2312"/>
          <w:kern w:val="0"/>
          <w:sz w:val="32"/>
          <w:szCs w:val="32"/>
        </w:rPr>
        <w:t>%。主要原因是我单位</w:t>
      </w:r>
      <w:r>
        <w:rPr>
          <w:rFonts w:hint="eastAsia" w:ascii="仿宋_GB2312" w:hAnsi="仿宋_GB2312" w:eastAsia="仿宋_GB2312" w:cs="仿宋_GB2312"/>
          <w:kern w:val="0"/>
          <w:sz w:val="32"/>
          <w:szCs w:val="32"/>
          <w:lang w:eastAsia="zh-CN"/>
        </w:rPr>
        <w:t>本年在编人数增加，公用经费预算增加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kern w:val="0"/>
          <w:sz w:val="32"/>
          <w:szCs w:val="32"/>
        </w:rPr>
        <w:t>呼图壁县发展和改革委员会政府采购预算</w:t>
      </w:r>
      <w:r>
        <w:rPr>
          <w:rFonts w:hint="eastAsia" w:ascii="仿宋_GB2312" w:hAnsi="仿宋_GB2312" w:eastAsia="仿宋_GB2312" w:cs="仿宋_GB2312"/>
          <w:kern w:val="0"/>
          <w:sz w:val="32"/>
          <w:szCs w:val="32"/>
          <w:lang w:val="en-US" w:eastAsia="zh-CN"/>
        </w:rPr>
        <w:t>113.61</w:t>
      </w:r>
      <w:r>
        <w:rPr>
          <w:rFonts w:hint="eastAsia" w:ascii="仿宋_GB2312" w:hAnsi="仿宋_GB2312" w:eastAsia="仿宋_GB2312" w:cs="仿宋_GB2312"/>
          <w:kern w:val="0"/>
          <w:sz w:val="32"/>
          <w:szCs w:val="32"/>
        </w:rPr>
        <w:t>万元，其中：政府采购货物预算</w:t>
      </w:r>
      <w:r>
        <w:rPr>
          <w:rFonts w:hint="eastAsia" w:ascii="仿宋_GB2312" w:hAnsi="仿宋_GB2312" w:eastAsia="仿宋_GB2312" w:cs="仿宋_GB2312"/>
          <w:kern w:val="0"/>
          <w:sz w:val="32"/>
          <w:szCs w:val="32"/>
          <w:lang w:val="en-US" w:eastAsia="zh-CN"/>
        </w:rPr>
        <w:t>46.92</w:t>
      </w:r>
      <w:r>
        <w:rPr>
          <w:rFonts w:hint="eastAsia" w:ascii="仿宋_GB2312" w:hAnsi="仿宋_GB2312" w:eastAsia="仿宋_GB2312" w:cs="仿宋_GB2312"/>
          <w:kern w:val="0"/>
          <w:sz w:val="32"/>
          <w:szCs w:val="32"/>
        </w:rPr>
        <w:t>万元，政府采购工程预算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66.69</w:t>
      </w:r>
      <w:r>
        <w:rPr>
          <w:rFonts w:hint="eastAsia" w:ascii="仿宋_GB2312" w:hAnsi="仿宋_GB2312" w:eastAsia="仿宋_GB2312" w:cs="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kern w:val="0"/>
          <w:sz w:val="32"/>
          <w:szCs w:val="32"/>
        </w:rPr>
        <w:t>呼图壁县发展和改革委员会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113.61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113.61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kern w:val="0"/>
          <w:sz w:val="32"/>
          <w:szCs w:val="32"/>
        </w:rPr>
        <w:t>呼图壁县发展和改革委员会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4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1.房屋</w:t>
      </w:r>
      <w:r>
        <w:rPr>
          <w:rFonts w:hint="eastAsia" w:ascii="仿宋" w:hAnsi="仿宋" w:eastAsia="仿宋" w:cs="仿宋_GB2312"/>
          <w:sz w:val="32"/>
          <w:szCs w:val="32"/>
        </w:rPr>
        <w:t>3316.7平方米，价值613.91万元</w:t>
      </w:r>
      <w:r>
        <w:rPr>
          <w:rFonts w:hint="eastAsia" w:ascii="仿宋" w:hAnsi="仿宋" w:eastAsia="仿宋" w:cs="宋体"/>
          <w:kern w:val="0"/>
          <w:sz w:val="32"/>
          <w:szCs w:val="32"/>
        </w:rPr>
        <w:t>。</w:t>
      </w:r>
    </w:p>
    <w:p>
      <w:pPr>
        <w:spacing w:line="54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2.</w:t>
      </w:r>
      <w:r>
        <w:rPr>
          <w:rFonts w:hint="eastAsia" w:ascii="仿宋" w:hAnsi="仿宋" w:eastAsia="仿宋" w:cs="仿宋_GB2312"/>
          <w:sz w:val="32"/>
          <w:szCs w:val="32"/>
        </w:rPr>
        <w:t>车辆4辆，价值80.11万元；其中：一般公务用车4辆，</w:t>
      </w:r>
      <w:r>
        <w:rPr>
          <w:rFonts w:hint="eastAsia" w:ascii="仿宋" w:hAnsi="仿宋" w:eastAsia="仿宋" w:cs="仿宋_GB2312"/>
          <w:sz w:val="32"/>
          <w:szCs w:val="32"/>
        </w:rPr>
        <w:drawing>
          <wp:inline distT="0" distB="0" distL="114300" distR="114300">
            <wp:extent cx="3175" cy="31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3175" cy="3175"/>
                    </a:xfrm>
                    <a:prstGeom prst="rect">
                      <a:avLst/>
                    </a:prstGeom>
                    <a:noFill/>
                    <a:ln>
                      <a:noFill/>
                    </a:ln>
                  </pic:spPr>
                </pic:pic>
              </a:graphicData>
            </a:graphic>
          </wp:inline>
        </w:drawing>
      </w:r>
      <w:r>
        <w:rPr>
          <w:rFonts w:hint="eastAsia" w:ascii="仿宋" w:hAnsi="仿宋" w:eastAsia="仿宋" w:cs="仿宋_GB2312"/>
          <w:sz w:val="32"/>
          <w:szCs w:val="32"/>
        </w:rPr>
        <w:t>价值80.11万元；执法执勤用车0辆，价值0万元；其他车辆0辆，价值0万元。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19.55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spacing w:line="54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单位价值50万元以上大型设备0台（套），单位价值100万元以上大型设备0台（套）。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宋体"/>
          <w:kern w:val="0"/>
          <w:sz w:val="32"/>
          <w:szCs w:val="32"/>
        </w:rPr>
      </w:pPr>
      <w:r>
        <w:rPr>
          <w:rFonts w:hint="eastAsia" w:ascii="仿宋" w:hAnsi="仿宋" w:eastAsia="仿宋" w:cs="宋体"/>
          <w:kern w:val="0"/>
          <w:sz w:val="32"/>
          <w:szCs w:val="32"/>
        </w:rPr>
        <w:t>202</w:t>
      </w:r>
      <w:r>
        <w:rPr>
          <w:rFonts w:hint="eastAsia" w:ascii="仿宋" w:hAnsi="仿宋" w:eastAsia="仿宋" w:cs="宋体"/>
          <w:kern w:val="0"/>
          <w:sz w:val="32"/>
          <w:szCs w:val="32"/>
          <w:lang w:val="en-US" w:eastAsia="zh-CN"/>
        </w:rPr>
        <w:t>4</w:t>
      </w:r>
      <w:r>
        <w:rPr>
          <w:rFonts w:hint="eastAsia" w:ascii="仿宋" w:hAnsi="仿宋" w:eastAsia="仿宋" w:cs="宋体"/>
          <w:kern w:val="0"/>
          <w:sz w:val="32"/>
          <w:szCs w:val="32"/>
        </w:rPr>
        <w:t>年单位预算未安排购置车辆经费，安排购置50万元以上大型设备0台（套），单位价值100万元以上大型设备0台（套）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整体预算绩效目标1个，涉及金额945.2万元；当年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涉及预算金额1370.68万元；当年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张烁屿</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19915050181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紧紧围绕经济增长总目标，坚持稳中求进工作总基调，坚持以供给侧结构性改革为主线，践行新发展理念，全面贯彻“巩固、增强、提升、畅通”八字方针，强基固本，攻坚克难，全力推动高质量发展，统筹推进稳增长、促改革、调结构、惠民生、防风险各项工作，进一步稳就业、稳金融、稳投资、稳预期，提振市场信心，增强人民群众获得感、幸福感、安全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945.2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1"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完成固定资产投资目标增速</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&gt;=20%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2024年呼图壁县政府工作报告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援疆项目开复工项目个数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2024年呼图壁县政府工作报告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71"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应急面粉储备和管理吨数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&gt;=750吨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昌州党办发【2022】35号、发改粮食【2022】517号、新粮办【2022】70号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农产品价格成本监测工作资金支付率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昌州财建【2023】166号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1"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tbl>
      <w:tblPr>
        <w:tblStyle w:val="5"/>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6"/>
        <w:gridCol w:w="840"/>
        <w:gridCol w:w="839"/>
        <w:gridCol w:w="839"/>
        <w:gridCol w:w="840"/>
        <w:gridCol w:w="839"/>
        <w:gridCol w:w="840"/>
        <w:gridCol w:w="839"/>
        <w:gridCol w:w="1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7"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关于提前下达2024年下达农产品成本调查经费预算的通知-2024年农产品成本调查项目</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8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4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农产品成本调查经费为1.68万元，通过农产品成本调查，为制定农产品价格、财政补贴、保险及农业支持政策提供参考数据，为建立农资综合补贴动态调整机制提供成本数据，为农业补贴政策的调整公共科学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农产品成本收益调查品种数</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&gt;=2个</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调研和产品分析报告</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&gt;=2份</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成本调查数据、调查方案准确率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农产品成本调查及时率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农产品成本调查所需成本</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&lt;=1.68万元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为农牧业生产、农产品决策提供有效依据和指导合格</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效果显著</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有关部门对分析报告满意度</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6"/>
        <w:gridCol w:w="840"/>
        <w:gridCol w:w="839"/>
        <w:gridCol w:w="839"/>
        <w:gridCol w:w="840"/>
        <w:gridCol w:w="839"/>
        <w:gridCol w:w="840"/>
        <w:gridCol w:w="839"/>
        <w:gridCol w:w="1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7"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关于下达2023年煤矿安全改造专项中央基建投资预算的通知-石梯子西沟煤矿2023年瓦斯地面预抽项目</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赵鹏飞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w:t>
            </w:r>
          </w:p>
        </w:tc>
        <w:tc>
          <w:tcPr>
            <w:tcW w:w="8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4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1.煤矿安全改造项目按计划实施，资金规范使用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2.通过实施安全改造，煤矿安全基础进一步夯实，智能化建设水平同比提升，防灾抗灾能力进一步增强，促进煤矿安全生产和煤炭稳定供应。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完成煤矿安全改造项目个数</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审计、督查、巡视等指出问题项目比例</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资金支付及时率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煤矿安全改造成本</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&lt;=307万元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预算支出控制率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对煤炭供需平衡的促进作用</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煤矿安全生产保障程度</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显著提高</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公众对环境质量满意度</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6"/>
        <w:gridCol w:w="840"/>
        <w:gridCol w:w="839"/>
        <w:gridCol w:w="839"/>
        <w:gridCol w:w="840"/>
        <w:gridCol w:w="839"/>
        <w:gridCol w:w="840"/>
        <w:gridCol w:w="839"/>
        <w:gridCol w:w="1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7"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粮食质量安全检查和监测经费项目（非定额）</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4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根据我县粮食实际种植面积、品种分布等情况，重点对当年新收获的小麦、玉米等主要粮食品种进行监测，按照每万吨粮食产量应安排不少于1个样品检验常规质量指标，完成我县粮食质量安全监管工作。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小麦质量安全监测数量</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&gt;=38份</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玉米质量安全监测数量</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&gt;=28份</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小麦、玉米质量合格率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&gt;=97%</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粮食质量安全监测完成及时率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粮食质量安全监测经费</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确保粮食各项指标符合国家标准值</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&gt;=97%</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保障新收购小麦、玉米粮食质量安全，提高监测时效性，更好服务于粮食收购</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充分保障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kern w:val="0"/>
          <w:sz w:val="32"/>
          <w:szCs w:val="32"/>
          <w:highlight w:val="none"/>
        </w:rPr>
      </w:pPr>
    </w:p>
    <w:tbl>
      <w:tblPr>
        <w:tblStyle w:val="5"/>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6"/>
        <w:gridCol w:w="840"/>
        <w:gridCol w:w="839"/>
        <w:gridCol w:w="839"/>
        <w:gridCol w:w="840"/>
        <w:gridCol w:w="839"/>
        <w:gridCol w:w="840"/>
        <w:gridCol w:w="839"/>
        <w:gridCol w:w="1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7"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人民防空工作经费项目（非定额）</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8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4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本项目拟投入30万元，计划实施内容为：完成1台人防装置安装、验收合格率、项目完成及时率均达到100%，通过本项目实施，保障人民防空通信、警报的畅通，使群众满意度均达到90%。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安装人民防空警报器数量</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人民防空警报器验收合格率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人民防空工作经费支出</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&lt;=30万元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预算支出控制率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保障人民防空通信、警报的畅通</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kern w:val="0"/>
          <w:sz w:val="32"/>
          <w:szCs w:val="32"/>
          <w:highlight w:val="none"/>
        </w:rPr>
      </w:pPr>
    </w:p>
    <w:tbl>
      <w:tblPr>
        <w:tblStyle w:val="5"/>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6"/>
        <w:gridCol w:w="840"/>
        <w:gridCol w:w="839"/>
        <w:gridCol w:w="839"/>
        <w:gridCol w:w="840"/>
        <w:gridCol w:w="839"/>
        <w:gridCol w:w="840"/>
        <w:gridCol w:w="839"/>
        <w:gridCol w:w="1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7"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项目前期编制费项目（非定额）</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魏宁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8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4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贯彻执行国家和自治区国民经济和社会发展方针、政策；研究提出呼图壁县国民经济和社会发展战略。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编制项目个数</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&gt;=20个</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项目入库率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编制费拨付及时率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前期编制费成本</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&lt;=1000万元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减轻各项目前期手续办理压力</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效果显著</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项目单位满意度</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kern w:val="0"/>
          <w:sz w:val="32"/>
          <w:szCs w:val="32"/>
          <w:highlight w:val="none"/>
        </w:rPr>
      </w:pPr>
    </w:p>
    <w:tbl>
      <w:tblPr>
        <w:tblStyle w:val="5"/>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3"/>
        <w:gridCol w:w="840"/>
        <w:gridCol w:w="1048"/>
        <w:gridCol w:w="626"/>
        <w:gridCol w:w="844"/>
        <w:gridCol w:w="839"/>
        <w:gridCol w:w="840"/>
        <w:gridCol w:w="839"/>
        <w:gridCol w:w="18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7"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应急储备面粉项目（非定额）</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4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4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由中粮八一面业（呼图壁）有限公司和北疆面粉厂代储呼图壁县应急面粉750吨，面粉质量为特一等。确保呼图壁县在严重自然灾害和紧急状态下10天的粮食供应。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6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粮食检查次数</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应急面粉达到吨数</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&gt;=750吨</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应急面粉质量合格率</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应急面粉轮转及时率</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750吨应急面粉保管费及保证金</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&lt;=15万元</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51"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满足呼图壁县在严重自然灾害和紧急状态下粮食供应天数</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&gt;=10天</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kern w:val="0"/>
          <w:sz w:val="32"/>
          <w:szCs w:val="32"/>
          <w:highlight w:val="none"/>
        </w:rPr>
      </w:pPr>
    </w:p>
    <w:tbl>
      <w:tblPr>
        <w:tblStyle w:val="5"/>
        <w:tblW w:w="100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
        <w:gridCol w:w="742"/>
        <w:gridCol w:w="239"/>
        <w:gridCol w:w="601"/>
        <w:gridCol w:w="380"/>
        <w:gridCol w:w="459"/>
        <w:gridCol w:w="522"/>
        <w:gridCol w:w="317"/>
        <w:gridCol w:w="664"/>
        <w:gridCol w:w="176"/>
        <w:gridCol w:w="805"/>
        <w:gridCol w:w="34"/>
        <w:gridCol w:w="840"/>
        <w:gridCol w:w="107"/>
        <w:gridCol w:w="732"/>
        <w:gridCol w:w="249"/>
        <w:gridCol w:w="981"/>
        <w:gridCol w:w="580"/>
        <w:gridCol w:w="1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1532" w:type="dxa"/>
          <w:trHeight w:val="407" w:hRule="atLeast"/>
        </w:trPr>
        <w:tc>
          <w:tcPr>
            <w:tcW w:w="8522"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522"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16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46"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16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政府定价服务成本监审费用项目（非定额）</w:t>
            </w:r>
          </w:p>
        </w:tc>
        <w:tc>
          <w:tcPr>
            <w:tcW w:w="16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16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4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840" w:hRule="atLeast"/>
        </w:trPr>
        <w:tc>
          <w:tcPr>
            <w:tcW w:w="16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46"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发改委委托第三方机构对华电、热力、新颖2020-2022年供热定价成本和公共供热管网资产折旧进行成本监审，合同约定：城镇供热成本监审费6万元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3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3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3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3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3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监审供暖企业数量</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&gt;=3家</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监审供暖面积</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&gt;=580万平方米</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成本监审报告完成率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成本监审报告完成及时率率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第三方成本监审费用</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&lt;=6万元</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预算支出控制率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保障供暖成本准确性</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532" w:type="dxa"/>
          <w:trHeight w:val="450" w:hRule="atLeast"/>
        </w:trPr>
        <w:tc>
          <w:tcPr>
            <w:tcW w:w="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居民投诉率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07" w:hRule="atLeast"/>
          <w:jc w:val="center"/>
        </w:trPr>
        <w:tc>
          <w:tcPr>
            <w:tcW w:w="996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996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1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9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1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2024年政府隐性债务支出责任-呼图壁县2014年定居兴牧工程</w:t>
            </w:r>
          </w:p>
        </w:tc>
        <w:tc>
          <w:tcPr>
            <w:tcW w:w="1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1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8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840" w:hRule="atLeast"/>
          <w:jc w:val="center"/>
        </w:trPr>
        <w:tc>
          <w:tcPr>
            <w:tcW w:w="1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98"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了深入贯彻落实区、州党委、政府“贯彻落实新发展理念、打赢三大攻坚战”干部大会及化解政府债务系列会议精神，有效化解地方政府债务风险，做好防范化解政府债务各项工作，按照化解政府债务整改要求,第一时间上报全口径债务监测平台项目，并完成了还款协议的签订。逐年完成政府债务化解工作逐年完成政府债务化解工作。今年预计还款10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280" w:hRule="atLeast"/>
          <w:jc w:val="center"/>
        </w:trPr>
        <w:tc>
          <w:tcPr>
            <w:tcW w:w="981"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81"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81" w:type="dxa"/>
            <w:gridSpan w:val="2"/>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1" w:type="dxa"/>
            <w:gridSpan w:val="2"/>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1" w:type="dxa"/>
            <w:gridSpan w:val="2"/>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1" w:type="dxa"/>
            <w:gridSpan w:val="3"/>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1" w:type="dxa"/>
            <w:gridSpan w:val="2"/>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98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8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8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8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81"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8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8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1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9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偿还政府性债务资金笔数</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=1笔</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债务资金偿还准确率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债务资金偿还及时率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9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清欠债务还款资金</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&lt;=10万元</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预算支出控制率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降低信访矛盾</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有效降低</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94" w:type="dxa"/>
          <w:trHeight w:val="450" w:hRule="atLeast"/>
          <w:jc w:val="center"/>
        </w:trPr>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欠款单位满意度</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hAnsi="宋体" w:eastAsia="仿宋_GB2312" w:cs="宋体"/>
          <w:kern w:val="0"/>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CN"/>
        </w:rPr>
        <w:t>呼图壁县发展和改革委员会</w:t>
      </w:r>
      <w:r>
        <w:rPr>
          <w:rFonts w:hint="eastAsia" w:ascii="仿宋_GB2312" w:hAnsi="宋体" w:eastAsia="仿宋_GB2312" w:cs="宋体"/>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center"/>
        <w:textAlignment w:val="auto"/>
        <w:outlineLvl w:val="9"/>
      </w:pPr>
      <w:r>
        <w:rPr>
          <w:rFonts w:hint="eastAsia" w:ascii="仿宋_GB2312" w:hAnsi="宋体" w:eastAsia="仿宋_GB2312" w:cs="宋体"/>
          <w:kern w:val="0"/>
          <w:sz w:val="32"/>
          <w:szCs w:val="32"/>
          <w:highlight w:val="none"/>
          <w:lang w:val="en-US" w:eastAsia="zh-CN"/>
        </w:rPr>
        <w:t xml:space="preserve">                        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357A73"/>
    <w:multiLevelType w:val="singleLevel"/>
    <w:tmpl w:val="BD357A73"/>
    <w:lvl w:ilvl="0" w:tentative="0">
      <w:start w:val="3"/>
      <w:numFmt w:val="decimal"/>
      <w:lvlText w:val="%1."/>
      <w:lvlJc w:val="left"/>
      <w:pPr>
        <w:tabs>
          <w:tab w:val="left" w:pos="312"/>
        </w:tabs>
      </w:p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EE2224"/>
    <w:rsid w:val="039A1E78"/>
    <w:rsid w:val="03B11E14"/>
    <w:rsid w:val="04267B2D"/>
    <w:rsid w:val="05397FD9"/>
    <w:rsid w:val="06320837"/>
    <w:rsid w:val="070E6657"/>
    <w:rsid w:val="08450B28"/>
    <w:rsid w:val="0B247F12"/>
    <w:rsid w:val="0BB25FCA"/>
    <w:rsid w:val="0C0679C8"/>
    <w:rsid w:val="0D6E5FD0"/>
    <w:rsid w:val="0E9208E7"/>
    <w:rsid w:val="10587512"/>
    <w:rsid w:val="10916BDA"/>
    <w:rsid w:val="165434B0"/>
    <w:rsid w:val="1697741D"/>
    <w:rsid w:val="1732414C"/>
    <w:rsid w:val="197A29D8"/>
    <w:rsid w:val="19885571"/>
    <w:rsid w:val="1BEB54C3"/>
    <w:rsid w:val="1C3C6084"/>
    <w:rsid w:val="1CC04E95"/>
    <w:rsid w:val="1CEB6DC6"/>
    <w:rsid w:val="1D0868EB"/>
    <w:rsid w:val="1D3E1AFE"/>
    <w:rsid w:val="1EB61656"/>
    <w:rsid w:val="20DD55C0"/>
    <w:rsid w:val="21517C94"/>
    <w:rsid w:val="22DB78DD"/>
    <w:rsid w:val="23E62F43"/>
    <w:rsid w:val="23F07684"/>
    <w:rsid w:val="244D65B8"/>
    <w:rsid w:val="2492221D"/>
    <w:rsid w:val="26B4291F"/>
    <w:rsid w:val="26E769FA"/>
    <w:rsid w:val="293B2E83"/>
    <w:rsid w:val="2A012DF7"/>
    <w:rsid w:val="2AFC4894"/>
    <w:rsid w:val="2D480265"/>
    <w:rsid w:val="2D977453"/>
    <w:rsid w:val="2DCF1834"/>
    <w:rsid w:val="2EF22236"/>
    <w:rsid w:val="321E584D"/>
    <w:rsid w:val="34152D6E"/>
    <w:rsid w:val="34976CD4"/>
    <w:rsid w:val="356F47B8"/>
    <w:rsid w:val="379A324B"/>
    <w:rsid w:val="383B014F"/>
    <w:rsid w:val="3D043D70"/>
    <w:rsid w:val="3E48793C"/>
    <w:rsid w:val="3F3A7524"/>
    <w:rsid w:val="3FDF4D23"/>
    <w:rsid w:val="40DB5D9E"/>
    <w:rsid w:val="42B36D08"/>
    <w:rsid w:val="43C26223"/>
    <w:rsid w:val="43D8307E"/>
    <w:rsid w:val="443F5506"/>
    <w:rsid w:val="451F45E6"/>
    <w:rsid w:val="469560CC"/>
    <w:rsid w:val="46AE0B03"/>
    <w:rsid w:val="46CE3131"/>
    <w:rsid w:val="478721CA"/>
    <w:rsid w:val="494F7907"/>
    <w:rsid w:val="49F05D8C"/>
    <w:rsid w:val="4A0847EE"/>
    <w:rsid w:val="4B5F0E37"/>
    <w:rsid w:val="4C0055E5"/>
    <w:rsid w:val="4C235C4C"/>
    <w:rsid w:val="4C3677AE"/>
    <w:rsid w:val="4C706B3A"/>
    <w:rsid w:val="51C15CED"/>
    <w:rsid w:val="52285DEB"/>
    <w:rsid w:val="52AD62F0"/>
    <w:rsid w:val="53BE7672"/>
    <w:rsid w:val="546308FE"/>
    <w:rsid w:val="54D62999"/>
    <w:rsid w:val="5819467E"/>
    <w:rsid w:val="586711C6"/>
    <w:rsid w:val="5AA66A00"/>
    <w:rsid w:val="5F2346ED"/>
    <w:rsid w:val="5FD7721A"/>
    <w:rsid w:val="60F4061E"/>
    <w:rsid w:val="61086613"/>
    <w:rsid w:val="61730EFA"/>
    <w:rsid w:val="6181445A"/>
    <w:rsid w:val="6408782B"/>
    <w:rsid w:val="64B95734"/>
    <w:rsid w:val="65322CBF"/>
    <w:rsid w:val="65C2396E"/>
    <w:rsid w:val="68CC52CB"/>
    <w:rsid w:val="68DE4FFE"/>
    <w:rsid w:val="694B58D7"/>
    <w:rsid w:val="69CE4E15"/>
    <w:rsid w:val="6B7F3246"/>
    <w:rsid w:val="6EF07839"/>
    <w:rsid w:val="6F63000B"/>
    <w:rsid w:val="71F27C2C"/>
    <w:rsid w:val="72B56DCF"/>
    <w:rsid w:val="73DB0A44"/>
    <w:rsid w:val="75B570E6"/>
    <w:rsid w:val="780A1873"/>
    <w:rsid w:val="787D11B8"/>
    <w:rsid w:val="792C5912"/>
    <w:rsid w:val="7A80601A"/>
    <w:rsid w:val="7D8675E3"/>
    <w:rsid w:val="7E05604E"/>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2024-07-23T10:18:19Z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AFF7EBFBCA234441A8CB80A86A1B43BA</vt:lpwstr>
  </property>
</Properties>
</file>